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3" w:rsidRPr="004F2397" w:rsidRDefault="002134AC" w:rsidP="004F2397">
      <w:pPr>
        <w:spacing w:line="312" w:lineRule="auto"/>
        <w:jc w:val="both"/>
        <w:rPr>
          <w:rFonts w:eastAsia="Times New Roman" w:cs="Arial"/>
          <w:b/>
          <w:sz w:val="21"/>
          <w:szCs w:val="21"/>
          <w:lang w:val="pl-PL" w:eastAsia="pl-PL"/>
        </w:rPr>
      </w:pPr>
      <w:r w:rsidRPr="004F2397">
        <w:rPr>
          <w:rFonts w:cs="Arial"/>
          <w:sz w:val="21"/>
          <w:szCs w:val="21"/>
          <w:lang w:val="pl-PL"/>
        </w:rPr>
        <w:t xml:space="preserve"> </w:t>
      </w:r>
    </w:p>
    <w:p w:rsidR="006F7AE5" w:rsidRPr="0098308E" w:rsidRDefault="00AD306F" w:rsidP="004F2397">
      <w:pPr>
        <w:spacing w:line="312" w:lineRule="auto"/>
        <w:jc w:val="center"/>
        <w:rPr>
          <w:rFonts w:eastAsia="Times New Roman" w:cs="Arial"/>
          <w:b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Oświadczenie</w:t>
      </w:r>
    </w:p>
    <w:p w:rsidR="00AD306F" w:rsidRPr="0098308E" w:rsidRDefault="00DC07A4" w:rsidP="004F2397">
      <w:pPr>
        <w:spacing w:line="312" w:lineRule="auto"/>
        <w:jc w:val="center"/>
        <w:rPr>
          <w:rFonts w:eastAsia="Times New Roman" w:cs="Arial"/>
          <w:b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S</w:t>
      </w:r>
      <w:r w:rsidR="00AD306F" w:rsidRPr="0098308E">
        <w:rPr>
          <w:rFonts w:eastAsia="Times New Roman" w:cs="Arial"/>
          <w:b/>
          <w:sz w:val="21"/>
          <w:szCs w:val="21"/>
          <w:lang w:val="pl-PL" w:eastAsia="pl-PL"/>
        </w:rPr>
        <w:t>półki PGE E</w:t>
      </w:r>
      <w:r w:rsidR="009653C4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J 1 </w:t>
      </w:r>
      <w:proofErr w:type="spellStart"/>
      <w:r w:rsidR="009653C4" w:rsidRPr="0098308E">
        <w:rPr>
          <w:rFonts w:eastAsia="Times New Roman" w:cs="Arial"/>
          <w:b/>
          <w:sz w:val="21"/>
          <w:szCs w:val="21"/>
          <w:lang w:val="pl-PL" w:eastAsia="pl-PL"/>
        </w:rPr>
        <w:t>ws</w:t>
      </w:r>
      <w:proofErr w:type="spellEnd"/>
      <w:r w:rsidR="009653C4" w:rsidRPr="0098308E">
        <w:rPr>
          <w:rFonts w:eastAsia="Times New Roman" w:cs="Arial"/>
          <w:b/>
          <w:sz w:val="21"/>
          <w:szCs w:val="21"/>
          <w:lang w:val="pl-PL" w:eastAsia="pl-PL"/>
        </w:rPr>
        <w:t>. listu otwartego wójtów g</w:t>
      </w:r>
      <w:r w:rsidR="00AD306F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min Choczewo, Gniewino, Krokowa do Prezesa Rady Ministrów </w:t>
      </w:r>
      <w:proofErr w:type="spellStart"/>
      <w:r w:rsidR="00AD306F" w:rsidRPr="0098308E">
        <w:rPr>
          <w:rFonts w:eastAsia="Times New Roman" w:cs="Arial"/>
          <w:b/>
          <w:sz w:val="21"/>
          <w:szCs w:val="21"/>
          <w:lang w:val="pl-PL" w:eastAsia="pl-PL"/>
        </w:rPr>
        <w:t>ws</w:t>
      </w:r>
      <w:proofErr w:type="spellEnd"/>
      <w:r w:rsidR="00AD306F" w:rsidRPr="0098308E">
        <w:rPr>
          <w:rFonts w:eastAsia="Times New Roman" w:cs="Arial"/>
          <w:b/>
          <w:sz w:val="21"/>
          <w:szCs w:val="21"/>
          <w:lang w:val="pl-PL" w:eastAsia="pl-PL"/>
        </w:rPr>
        <w:t>. budowy elektrowni jądrowej na Pomorzu z dnia 21</w:t>
      </w:r>
      <w:r w:rsidR="006F7AE5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.01.2015 </w:t>
      </w:r>
      <w:r w:rsidR="00AD306F" w:rsidRPr="0098308E">
        <w:rPr>
          <w:rFonts w:eastAsia="Times New Roman" w:cs="Arial"/>
          <w:b/>
          <w:sz w:val="21"/>
          <w:szCs w:val="21"/>
          <w:lang w:val="pl-PL" w:eastAsia="pl-PL"/>
        </w:rPr>
        <w:t>r.</w:t>
      </w:r>
    </w:p>
    <w:p w:rsidR="00361345" w:rsidRPr="0098308E" w:rsidRDefault="00361345" w:rsidP="004F2397">
      <w:pPr>
        <w:shd w:val="solid" w:color="FFFFFF" w:fill="auto"/>
        <w:spacing w:line="312" w:lineRule="auto"/>
        <w:jc w:val="both"/>
        <w:rPr>
          <w:rFonts w:eastAsia="Arial" w:cs="Arial"/>
          <w:sz w:val="21"/>
          <w:szCs w:val="21"/>
          <w:lang w:val="pl-PL" w:eastAsia="pl-PL"/>
        </w:rPr>
      </w:pPr>
    </w:p>
    <w:p w:rsidR="00AD306F" w:rsidRPr="0098308E" w:rsidRDefault="003B7CEB" w:rsidP="004F2397">
      <w:pPr>
        <w:shd w:val="solid" w:color="FFFFFF" w:fill="auto"/>
        <w:spacing w:line="312" w:lineRule="auto"/>
        <w:jc w:val="both"/>
        <w:rPr>
          <w:rFonts w:eastAsia="Arial" w:cs="Arial"/>
          <w:sz w:val="21"/>
          <w:szCs w:val="21"/>
          <w:lang w:val="pl-PL" w:eastAsia="pl-PL"/>
        </w:rPr>
      </w:pPr>
      <w:r w:rsidRPr="0098308E">
        <w:rPr>
          <w:rFonts w:eastAsia="Arial" w:cs="Arial"/>
          <w:sz w:val="21"/>
          <w:szCs w:val="21"/>
          <w:lang w:val="pl-PL" w:eastAsia="pl-PL"/>
        </w:rPr>
        <w:t>S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>półka PGE EJ 1 prowadzi</w:t>
      </w:r>
      <w:r w:rsidR="004F2397" w:rsidRPr="0098308E">
        <w:rPr>
          <w:rFonts w:eastAsia="Arial" w:cs="Arial"/>
          <w:sz w:val="21"/>
          <w:szCs w:val="21"/>
          <w:lang w:val="pl-PL" w:eastAsia="pl-PL"/>
        </w:rPr>
        <w:t xml:space="preserve"> 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>przygotowa</w:t>
      </w:r>
      <w:r w:rsidRPr="0098308E">
        <w:rPr>
          <w:rFonts w:eastAsia="Arial" w:cs="Arial"/>
          <w:sz w:val="21"/>
          <w:szCs w:val="21"/>
          <w:lang w:val="pl-PL" w:eastAsia="pl-PL"/>
        </w:rPr>
        <w:t>nia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 xml:space="preserve"> do </w:t>
      </w:r>
      <w:r w:rsidRPr="0098308E">
        <w:rPr>
          <w:rFonts w:eastAsia="Arial" w:cs="Arial"/>
          <w:sz w:val="21"/>
          <w:szCs w:val="21"/>
          <w:lang w:val="pl-PL" w:eastAsia="pl-PL"/>
        </w:rPr>
        <w:t>budowy pierwszej polskiej elektrowni jądrowej</w:t>
      </w:r>
      <w:r w:rsidR="00F1238F" w:rsidRPr="0098308E">
        <w:rPr>
          <w:rFonts w:eastAsia="Arial" w:cs="Arial"/>
          <w:sz w:val="21"/>
          <w:szCs w:val="21"/>
          <w:lang w:val="pl-PL" w:eastAsia="pl-PL"/>
        </w:rPr>
        <w:t>,</w:t>
      </w:r>
      <w:r w:rsidRPr="0098308E">
        <w:rPr>
          <w:rFonts w:eastAsia="Arial" w:cs="Arial"/>
          <w:sz w:val="21"/>
          <w:szCs w:val="21"/>
          <w:lang w:val="pl-PL" w:eastAsia="pl-PL"/>
        </w:rPr>
        <w:t xml:space="preserve"> będącej elementem bezpieczeństwa energetycznego państwa</w:t>
      </w:r>
      <w:r w:rsidR="00F1238F" w:rsidRPr="0098308E">
        <w:rPr>
          <w:rFonts w:eastAsia="Arial" w:cs="Arial"/>
          <w:sz w:val="21"/>
          <w:szCs w:val="21"/>
          <w:lang w:val="pl-PL" w:eastAsia="pl-PL"/>
        </w:rPr>
        <w:t>,</w:t>
      </w:r>
      <w:r w:rsidR="004F2397" w:rsidRPr="0098308E">
        <w:rPr>
          <w:rFonts w:eastAsia="Arial" w:cs="Arial"/>
          <w:sz w:val="21"/>
          <w:szCs w:val="21"/>
          <w:lang w:val="pl-PL" w:eastAsia="pl-PL"/>
        </w:rPr>
        <w:t xml:space="preserve"> 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>z</w:t>
      </w:r>
      <w:r w:rsidR="004F2397" w:rsidRPr="0098308E">
        <w:rPr>
          <w:rFonts w:eastAsia="Arial" w:cs="Arial"/>
          <w:sz w:val="21"/>
          <w:szCs w:val="21"/>
          <w:lang w:val="pl-PL" w:eastAsia="pl-PL"/>
        </w:rPr>
        <w:t xml:space="preserve"> </w:t>
      </w:r>
      <w:r w:rsidRPr="0098308E">
        <w:rPr>
          <w:rFonts w:eastAsia="Arial" w:cs="Arial"/>
          <w:sz w:val="21"/>
          <w:szCs w:val="21"/>
          <w:lang w:val="pl-PL" w:eastAsia="pl-PL"/>
        </w:rPr>
        <w:t>poszanowaniem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 xml:space="preserve"> przepisów</w:t>
      </w:r>
      <w:r w:rsidRPr="0098308E">
        <w:rPr>
          <w:rFonts w:eastAsia="Arial" w:cs="Arial"/>
          <w:sz w:val="21"/>
          <w:szCs w:val="21"/>
          <w:lang w:val="pl-PL" w:eastAsia="pl-PL"/>
        </w:rPr>
        <w:t xml:space="preserve"> prawa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 xml:space="preserve"> i</w:t>
      </w:r>
      <w:r w:rsidR="00922245" w:rsidRPr="0098308E">
        <w:rPr>
          <w:rFonts w:eastAsia="Arial" w:cs="Arial"/>
          <w:sz w:val="21"/>
          <w:szCs w:val="21"/>
          <w:lang w:val="pl-PL" w:eastAsia="pl-PL"/>
        </w:rPr>
        <w:t> 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>obowiązujących w tym zakresie procedur. Spółka kieruje się</w:t>
      </w:r>
      <w:r w:rsidRPr="0098308E">
        <w:rPr>
          <w:rFonts w:eastAsia="Arial" w:cs="Arial"/>
          <w:sz w:val="21"/>
          <w:szCs w:val="21"/>
          <w:lang w:val="pl-PL" w:eastAsia="pl-PL"/>
        </w:rPr>
        <w:t xml:space="preserve"> w szczególności</w:t>
      </w:r>
      <w:r w:rsidR="004F2397" w:rsidRPr="0098308E">
        <w:rPr>
          <w:rFonts w:eastAsia="Arial" w:cs="Arial"/>
          <w:sz w:val="21"/>
          <w:szCs w:val="21"/>
          <w:lang w:val="pl-PL" w:eastAsia="pl-PL"/>
        </w:rPr>
        <w:t xml:space="preserve"> </w:t>
      </w:r>
      <w:r w:rsidRPr="0098308E">
        <w:rPr>
          <w:rFonts w:eastAsia="Arial" w:cs="Arial"/>
          <w:sz w:val="21"/>
          <w:szCs w:val="21"/>
          <w:lang w:val="pl-PL" w:eastAsia="pl-PL"/>
        </w:rPr>
        <w:t xml:space="preserve">postanowieniami </w:t>
      </w:r>
      <w:r w:rsidR="00AD306F" w:rsidRPr="0098308E">
        <w:rPr>
          <w:rFonts w:eastAsia="Arial" w:cs="Arial"/>
          <w:sz w:val="21"/>
          <w:szCs w:val="21"/>
          <w:lang w:val="pl-PL" w:eastAsia="pl-PL"/>
        </w:rPr>
        <w:t xml:space="preserve">przyjętego 28 stycznia 2014 r. przez Radę Ministrów Programu Polskiej Energetyki Jądrowej (PPEJ) oraz standardami międzynarodowych instytucji, takich jak Międzynarodowa Agencja Energii Atomowej (MAEA). </w:t>
      </w:r>
    </w:p>
    <w:p w:rsidR="00DE55BB" w:rsidRPr="0098308E" w:rsidRDefault="00DE55BB" w:rsidP="00183D1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Zarząd PGE EJ 1 </w:t>
      </w:r>
      <w:r w:rsidR="00F16271" w:rsidRPr="0098308E">
        <w:rPr>
          <w:rFonts w:eastAsia="Times New Roman" w:cs="Arial"/>
          <w:b/>
          <w:sz w:val="21"/>
          <w:szCs w:val="21"/>
          <w:lang w:val="pl-PL" w:eastAsia="pl-PL"/>
        </w:rPr>
        <w:t>prowadzi otwarty dialog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 z władzami gmin lokalizacyjnych na każdy</w:t>
      </w:r>
      <w:r w:rsidR="00F16271" w:rsidRPr="0098308E">
        <w:rPr>
          <w:rFonts w:eastAsia="Times New Roman" w:cs="Arial"/>
          <w:b/>
          <w:sz w:val="21"/>
          <w:szCs w:val="21"/>
          <w:lang w:val="pl-PL" w:eastAsia="pl-PL"/>
        </w:rPr>
        <w:t>m etapie projektu i</w:t>
      </w:r>
      <w:r w:rsidR="00AF3B79" w:rsidRPr="0098308E">
        <w:rPr>
          <w:rFonts w:eastAsia="Times New Roman" w:cs="Arial"/>
          <w:b/>
          <w:sz w:val="21"/>
          <w:szCs w:val="21"/>
          <w:lang w:val="pl-PL" w:eastAsia="pl-PL"/>
        </w:rPr>
        <w:t> </w:t>
      </w:r>
      <w:r w:rsidR="00F16271" w:rsidRPr="0098308E">
        <w:rPr>
          <w:rFonts w:eastAsia="Times New Roman" w:cs="Arial"/>
          <w:b/>
          <w:sz w:val="21"/>
          <w:szCs w:val="21"/>
          <w:lang w:val="pl-PL" w:eastAsia="pl-PL"/>
        </w:rPr>
        <w:t>poszukuje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 rozwiązań satysfakcjonujących wszystkie Strony</w:t>
      </w:r>
      <w:r w:rsidR="00F16271" w:rsidRPr="0098308E">
        <w:rPr>
          <w:rFonts w:eastAsia="Times New Roman" w:cs="Arial"/>
          <w:sz w:val="21"/>
          <w:szCs w:val="21"/>
          <w:lang w:val="pl-PL" w:eastAsia="pl-PL"/>
        </w:rPr>
        <w:t>. N</w:t>
      </w:r>
      <w:r w:rsidRPr="0098308E">
        <w:rPr>
          <w:rFonts w:eastAsia="Times New Roman" w:cs="Arial"/>
          <w:sz w:val="21"/>
          <w:szCs w:val="21"/>
          <w:lang w:val="pl-PL" w:eastAsia="pl-PL"/>
        </w:rPr>
        <w:t>a każdym etapie projektu współpraca</w:t>
      </w:r>
      <w:r w:rsidR="00F16271" w:rsidRPr="0098308E">
        <w:rPr>
          <w:rFonts w:eastAsia="Times New Roman" w:cs="Arial"/>
          <w:sz w:val="21"/>
          <w:szCs w:val="21"/>
          <w:lang w:val="pl-PL" w:eastAsia="pl-PL"/>
        </w:rPr>
        <w:t xml:space="preserve"> ta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powinna mieć </w:t>
      </w:r>
      <w:r w:rsidR="00F16271" w:rsidRPr="0098308E">
        <w:rPr>
          <w:rFonts w:eastAsia="Times New Roman" w:cs="Arial"/>
          <w:sz w:val="21"/>
          <w:szCs w:val="21"/>
          <w:lang w:val="pl-PL" w:eastAsia="pl-PL"/>
        </w:rPr>
        <w:t xml:space="preserve">jednak </w:t>
      </w:r>
      <w:r w:rsidRPr="0098308E">
        <w:rPr>
          <w:rFonts w:eastAsia="Times New Roman" w:cs="Arial"/>
          <w:sz w:val="21"/>
          <w:szCs w:val="21"/>
          <w:lang w:val="pl-PL" w:eastAsia="pl-PL"/>
        </w:rPr>
        <w:t>podstawy prawne, przebiegać w sposób planowy, transparentny i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 </w:t>
      </w:r>
      <w:r w:rsidRPr="0098308E">
        <w:rPr>
          <w:rFonts w:eastAsia="Times New Roman" w:cs="Arial"/>
          <w:sz w:val="21"/>
          <w:szCs w:val="21"/>
          <w:lang w:val="pl-PL" w:eastAsia="pl-PL"/>
        </w:rPr>
        <w:t>z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 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uwzględnieniem aktualnego </w:t>
      </w:r>
      <w:r w:rsidR="00F1238F" w:rsidRPr="0098308E">
        <w:rPr>
          <w:rFonts w:eastAsia="Times New Roman" w:cs="Arial"/>
          <w:sz w:val="21"/>
          <w:szCs w:val="21"/>
          <w:lang w:val="pl-PL" w:eastAsia="pl-PL"/>
        </w:rPr>
        <w:t xml:space="preserve">zaawansowania 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procesu inwestycyjnego. Obecnie </w:t>
      </w:r>
      <w:r w:rsidR="00C830F8" w:rsidRPr="0098308E">
        <w:rPr>
          <w:rFonts w:eastAsia="Times New Roman" w:cs="Arial"/>
          <w:sz w:val="21"/>
          <w:szCs w:val="21"/>
          <w:lang w:val="pl-PL" w:eastAsia="pl-PL"/>
        </w:rPr>
        <w:t>realizowane przez Spółkę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działania uwzględniają aktualny etap realizacji procesu inwestycyjnego, są zgodne z praktyką innych państw w tym zakresie oraz przynoszą korzyści</w:t>
      </w:r>
      <w:r w:rsidR="00E951C0" w:rsidRPr="0098308E">
        <w:rPr>
          <w:rFonts w:eastAsia="Times New Roman" w:cs="Arial"/>
          <w:sz w:val="21"/>
          <w:szCs w:val="21"/>
          <w:lang w:val="pl-PL" w:eastAsia="pl-PL"/>
        </w:rPr>
        <w:t xml:space="preserve"> (</w:t>
      </w:r>
      <w:r w:rsidRPr="0098308E">
        <w:rPr>
          <w:rFonts w:eastAsia="Times New Roman" w:cs="Arial"/>
          <w:sz w:val="21"/>
          <w:szCs w:val="21"/>
          <w:lang w:val="pl-PL" w:eastAsia="pl-PL"/>
        </w:rPr>
        <w:t>w tym finansowe</w:t>
      </w:r>
      <w:r w:rsidR="00E951C0" w:rsidRPr="0098308E">
        <w:rPr>
          <w:rFonts w:eastAsia="Times New Roman" w:cs="Arial"/>
          <w:sz w:val="21"/>
          <w:szCs w:val="21"/>
          <w:lang w:val="pl-PL" w:eastAsia="pl-PL"/>
        </w:rPr>
        <w:t>)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gminom, na terenie których prowadzone są prace projektowe.</w:t>
      </w:r>
    </w:p>
    <w:p w:rsidR="00F16271" w:rsidRPr="0098308E" w:rsidRDefault="00F16271" w:rsidP="00F16271">
      <w:pPr>
        <w:spacing w:line="312" w:lineRule="auto"/>
        <w:jc w:val="both"/>
        <w:rPr>
          <w:rFonts w:eastAsia="Batang" w:cs="Arial"/>
          <w:kern w:val="2"/>
          <w:sz w:val="21"/>
          <w:szCs w:val="21"/>
          <w:lang w:val="pl-PL" w:eastAsia="ko-KR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W szczególności, wychodząc naprzeciw oczekiwaniom gmin, 31 stycznia 2014 roku PGE EJ 1 zawarła z gminą Choczewo, gminą Krokowa, gminą Gniewino oraz Samorządem Województwa Pomorskiego „Porozumienie o Współpracy i Rozwoju”. Porozumienie zakłada m.in. </w:t>
      </w:r>
      <w:r w:rsidRPr="0098308E">
        <w:rPr>
          <w:rFonts w:eastAsia="Batang" w:cs="Arial"/>
          <w:kern w:val="2"/>
          <w:sz w:val="21"/>
          <w:szCs w:val="21"/>
          <w:lang w:val="pl-PL" w:eastAsia="ko-KR"/>
        </w:rPr>
        <w:t xml:space="preserve">wypracowanie przez strony Planu Współpracy oraz Planu Rozwoju. </w:t>
      </w:r>
      <w:r w:rsidRPr="0098308E">
        <w:rPr>
          <w:rFonts w:eastAsia="Times New Roman" w:cs="Arial"/>
          <w:sz w:val="21"/>
          <w:szCs w:val="21"/>
          <w:lang w:val="pl-PL" w:eastAsia="pl-PL"/>
        </w:rPr>
        <w:t>Plan Współpracy ma określać zasady, sposób i harmonogram prowadzenia przez Strony działań komunikacyjno–edukacyjnych. W Planie Rozwoju wskazane natomiast zostaną przedsięwzięcia inwestycyjne dotyczące infrastruktury towarzyszącej oraz rozwoju lokalnego rynku pracy.</w:t>
      </w:r>
      <w:r w:rsidRPr="0098308E">
        <w:rPr>
          <w:rFonts w:eastAsia="Batang" w:cs="Arial"/>
          <w:kern w:val="2"/>
          <w:sz w:val="21"/>
          <w:szCs w:val="21"/>
          <w:lang w:val="pl-PL" w:eastAsia="ko-KR"/>
        </w:rPr>
        <w:t xml:space="preserve"> PGE EJ 1 opracowuje i uzgadnia z władzami samorządowymi ww. </w:t>
      </w:r>
      <w:r w:rsidR="00E951C0" w:rsidRPr="0098308E">
        <w:rPr>
          <w:rFonts w:eastAsia="Batang" w:cs="Arial"/>
          <w:kern w:val="2"/>
          <w:sz w:val="21"/>
          <w:szCs w:val="21"/>
          <w:lang w:val="pl-PL" w:eastAsia="ko-KR"/>
        </w:rPr>
        <w:t>p</w:t>
      </w:r>
      <w:r w:rsidRPr="0098308E">
        <w:rPr>
          <w:rFonts w:eastAsia="Batang" w:cs="Arial"/>
          <w:kern w:val="2"/>
          <w:sz w:val="21"/>
          <w:szCs w:val="21"/>
          <w:lang w:val="pl-PL" w:eastAsia="ko-KR"/>
        </w:rPr>
        <w:t>lany i nie jest prawdą</w:t>
      </w:r>
      <w:r w:rsidR="00AF3B79" w:rsidRPr="0098308E">
        <w:rPr>
          <w:rFonts w:eastAsia="Batang" w:cs="Arial"/>
          <w:kern w:val="2"/>
          <w:sz w:val="21"/>
          <w:szCs w:val="21"/>
          <w:lang w:val="pl-PL" w:eastAsia="ko-KR"/>
        </w:rPr>
        <w:t>,</w:t>
      </w:r>
      <w:r w:rsidRPr="0098308E">
        <w:rPr>
          <w:rFonts w:eastAsia="Batang" w:cs="Arial"/>
          <w:kern w:val="2"/>
          <w:sz w:val="21"/>
          <w:szCs w:val="21"/>
          <w:lang w:val="pl-PL" w:eastAsia="ko-KR"/>
        </w:rPr>
        <w:t xml:space="preserve"> że Spółka wycofała się z </w:t>
      </w:r>
      <w:r w:rsidR="00DC07A4" w:rsidRPr="0098308E">
        <w:rPr>
          <w:rFonts w:eastAsia="Batang" w:cs="Arial"/>
          <w:kern w:val="2"/>
          <w:sz w:val="21"/>
          <w:szCs w:val="21"/>
          <w:lang w:val="pl-PL" w:eastAsia="ko-KR"/>
        </w:rPr>
        <w:t>n</w:t>
      </w:r>
      <w:r w:rsidRPr="0098308E">
        <w:rPr>
          <w:rFonts w:eastAsia="Batang" w:cs="Arial"/>
          <w:kern w:val="2"/>
          <w:sz w:val="21"/>
          <w:szCs w:val="21"/>
          <w:lang w:val="pl-PL" w:eastAsia="ko-KR"/>
        </w:rPr>
        <w:t xml:space="preserve">ich. Muszą one jednak uwzględniać etap realizacji inwestycji. </w:t>
      </w:r>
    </w:p>
    <w:p w:rsidR="0098308E" w:rsidRDefault="0098308E" w:rsidP="00183D14">
      <w:pPr>
        <w:spacing w:line="312" w:lineRule="auto"/>
        <w:jc w:val="both"/>
        <w:rPr>
          <w:rFonts w:eastAsia="Times New Roman" w:cs="Arial"/>
          <w:b/>
          <w:sz w:val="21"/>
          <w:szCs w:val="21"/>
          <w:lang w:val="pl-PL" w:eastAsia="pl-PL"/>
        </w:rPr>
      </w:pPr>
    </w:p>
    <w:p w:rsidR="00183D14" w:rsidRPr="0098308E" w:rsidRDefault="00F16271" w:rsidP="00183D1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Spółce ni</w:t>
      </w:r>
      <w:r w:rsidR="00183D14" w:rsidRPr="0098308E">
        <w:rPr>
          <w:rFonts w:eastAsia="Times New Roman" w:cs="Arial"/>
          <w:b/>
          <w:sz w:val="21"/>
          <w:szCs w:val="21"/>
          <w:lang w:val="pl-PL" w:eastAsia="pl-PL"/>
        </w:rPr>
        <w:t>e są znane międzynarodowe przykłady zaangażowania finansowego inwestora elektrowni jądrowej w infrastrukturę lokalną bez uprzedniego, ostatecznego wskazania</w:t>
      </w:r>
      <w:r w:rsidR="00785980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 lokalizacji.</w:t>
      </w:r>
      <w:r w:rsidR="00785980" w:rsidRPr="0098308E">
        <w:rPr>
          <w:rFonts w:eastAsia="Times New Roman" w:cs="Arial"/>
          <w:sz w:val="21"/>
          <w:szCs w:val="21"/>
          <w:lang w:val="pl-PL" w:eastAsia="pl-PL"/>
        </w:rPr>
        <w:t xml:space="preserve"> Odwołanie </w:t>
      </w:r>
      <w:r w:rsidR="00C830F8" w:rsidRPr="0098308E">
        <w:rPr>
          <w:rFonts w:eastAsia="Times New Roman" w:cs="Arial"/>
          <w:sz w:val="21"/>
          <w:szCs w:val="21"/>
          <w:lang w:val="pl-PL" w:eastAsia="pl-PL"/>
        </w:rPr>
        <w:t>władz gmin lokalizacyjnych</w:t>
      </w:r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do przykładu brytyjskiej inwestycji w </w:t>
      </w:r>
      <w:proofErr w:type="spellStart"/>
      <w:r w:rsidR="00183D14" w:rsidRPr="0098308E">
        <w:rPr>
          <w:rFonts w:eastAsia="Times New Roman" w:cs="Arial"/>
          <w:sz w:val="21"/>
          <w:szCs w:val="21"/>
          <w:lang w:val="pl-PL" w:eastAsia="pl-PL"/>
        </w:rPr>
        <w:t>Hinkley</w:t>
      </w:r>
      <w:proofErr w:type="spellEnd"/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Point C nie jest adekwatne. </w:t>
      </w:r>
      <w:proofErr w:type="spellStart"/>
      <w:r w:rsidR="00183D14" w:rsidRPr="0098308E">
        <w:rPr>
          <w:rFonts w:eastAsia="Times New Roman" w:cs="Arial"/>
          <w:sz w:val="21"/>
          <w:szCs w:val="21"/>
          <w:lang w:val="pl-PL" w:eastAsia="pl-PL"/>
        </w:rPr>
        <w:t>Hinkley</w:t>
      </w:r>
      <w:proofErr w:type="spellEnd"/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Point C jest lokalizacją zatwierdzoną, a </w:t>
      </w:r>
      <w:r w:rsidR="00F05737" w:rsidRPr="0098308E">
        <w:rPr>
          <w:rFonts w:eastAsia="Times New Roman" w:cs="Arial"/>
          <w:sz w:val="21"/>
          <w:szCs w:val="21"/>
          <w:lang w:val="pl-PL" w:eastAsia="pl-PL"/>
        </w:rPr>
        <w:t>inwestycja</w:t>
      </w:r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jest na o wiele bardziej zaawansowanym etapie - znana jest już technologia reaktora, rozpoczęto ziemne prace przygotowawcze pod budowę </w:t>
      </w:r>
      <w:r w:rsidR="00DE55BB" w:rsidRPr="0098308E">
        <w:rPr>
          <w:rFonts w:eastAsia="Times New Roman" w:cs="Arial"/>
          <w:sz w:val="21"/>
          <w:szCs w:val="21"/>
          <w:lang w:val="pl-PL" w:eastAsia="pl-PL"/>
        </w:rPr>
        <w:t>elektrowni jądrowej</w:t>
      </w:r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. Podobnie jest w przypadku reaktora jądrowego </w:t>
      </w:r>
      <w:proofErr w:type="spellStart"/>
      <w:r w:rsidR="00183D14" w:rsidRPr="0098308E">
        <w:rPr>
          <w:rFonts w:eastAsia="Times New Roman" w:cs="Arial"/>
          <w:sz w:val="21"/>
          <w:szCs w:val="21"/>
          <w:lang w:val="pl-PL" w:eastAsia="pl-PL"/>
        </w:rPr>
        <w:t>Flamanville</w:t>
      </w:r>
      <w:proofErr w:type="spellEnd"/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3 we Francji, gdzie inwestor wspólnie ze stroną rządową przygotował konsultacje projektu tzw. „Wielkiej budowy” (dedykowanej ustawy, która stanowi ramy prawne dla realizacji strategicznych projektów inwestycyjnych w rozwój infrastruktury towarzyszącej i rozwój gmin). Także tam wspomniane uzgodnienia miały miejsce dopiero po dokonaniu wyboru lokalizacji budowy trzeciego bloku </w:t>
      </w:r>
      <w:r w:rsidR="00DE55BB" w:rsidRPr="0098308E">
        <w:rPr>
          <w:rFonts w:eastAsia="Times New Roman" w:cs="Arial"/>
          <w:sz w:val="21"/>
          <w:szCs w:val="21"/>
          <w:lang w:val="pl-PL" w:eastAsia="pl-PL"/>
        </w:rPr>
        <w:t>elektrowni</w:t>
      </w:r>
      <w:r w:rsidR="00183D14" w:rsidRPr="0098308E">
        <w:rPr>
          <w:rFonts w:eastAsia="Times New Roman" w:cs="Arial"/>
          <w:sz w:val="21"/>
          <w:szCs w:val="21"/>
          <w:lang w:val="pl-PL" w:eastAsia="pl-PL"/>
        </w:rPr>
        <w:t xml:space="preserve"> oraz po uzyskaniu niezbędnych decyzji administracyjnych.</w:t>
      </w:r>
      <w:r w:rsidR="00DE55BB" w:rsidRPr="0098308E">
        <w:rPr>
          <w:lang w:val="pl-PL"/>
        </w:rPr>
        <w:t xml:space="preserve"> </w:t>
      </w:r>
      <w:r w:rsidR="00DE55BB" w:rsidRPr="0098308E">
        <w:rPr>
          <w:rFonts w:eastAsia="Times New Roman" w:cs="Arial"/>
          <w:sz w:val="21"/>
          <w:szCs w:val="21"/>
          <w:lang w:val="pl-PL" w:eastAsia="pl-PL"/>
        </w:rPr>
        <w:t xml:space="preserve">W przypadku tych dwóch projektów, </w:t>
      </w:r>
      <w:bookmarkStart w:id="0" w:name="_GoBack"/>
      <w:bookmarkEnd w:id="0"/>
      <w:r w:rsidR="00DE55BB" w:rsidRPr="0098308E">
        <w:rPr>
          <w:rFonts w:eastAsia="Times New Roman" w:cs="Arial"/>
          <w:sz w:val="21"/>
          <w:szCs w:val="21"/>
          <w:lang w:val="pl-PL" w:eastAsia="pl-PL"/>
        </w:rPr>
        <w:lastRenderedPageBreak/>
        <w:t xml:space="preserve">podobnie jak w przypadku innych inwestycji tej skali, proces przygotowania inwestycji do czasu zatwierdzenia i rozpoczęcia budowy zawsze trwa kilka lat. </w:t>
      </w:r>
    </w:p>
    <w:p w:rsidR="0098308E" w:rsidRDefault="0098308E" w:rsidP="00440BC8">
      <w:pPr>
        <w:shd w:val="solid" w:color="FFFFFF" w:fill="auto"/>
        <w:spacing w:line="312" w:lineRule="auto"/>
        <w:jc w:val="both"/>
        <w:rPr>
          <w:rFonts w:eastAsia="Times New Roman" w:cs="Arial"/>
          <w:b/>
          <w:sz w:val="21"/>
          <w:szCs w:val="21"/>
          <w:lang w:val="pl-PL" w:eastAsia="pl-PL"/>
        </w:rPr>
      </w:pPr>
    </w:p>
    <w:p w:rsidR="00440BC8" w:rsidRPr="0098308E" w:rsidRDefault="009653C4" w:rsidP="00440BC8">
      <w:pPr>
        <w:shd w:val="solid" w:color="FFFFFF" w:fill="auto"/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W opinii PGE EJ 1 działania, które do tej pory Spółka podejmuje na rzecz gmin lokalizacyjnych, są adekwatne do etapu, na jakim znajduje się projekt inwestycyjny.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</w:t>
      </w:r>
      <w:r w:rsidR="00440BC8" w:rsidRPr="0098308E">
        <w:rPr>
          <w:rFonts w:eastAsia="Times New Roman" w:cs="Arial"/>
          <w:sz w:val="21"/>
          <w:szCs w:val="21"/>
          <w:lang w:val="pl-PL" w:eastAsia="pl-PL"/>
        </w:rPr>
        <w:t xml:space="preserve">Od listopada 2011 r., kiedy Spółka wskazała tzw. „krótką listę” potencjalnych lokalizacji elektrowni jądrowej, prowadzony jest stały i otwarty dialog, zarówno z władzami poszczególnych gmin lokalizacyjnych, jak i ich mieszkańcami. Spółka od początku </w:t>
      </w:r>
      <w:r w:rsidR="00785980" w:rsidRPr="0098308E">
        <w:rPr>
          <w:rFonts w:eastAsia="Times New Roman" w:cs="Arial"/>
          <w:sz w:val="21"/>
          <w:szCs w:val="21"/>
          <w:lang w:val="pl-PL" w:eastAsia="pl-PL"/>
        </w:rPr>
        <w:t xml:space="preserve">realizacji projektu </w:t>
      </w:r>
      <w:r w:rsidR="00440BC8" w:rsidRPr="0098308E">
        <w:rPr>
          <w:rFonts w:eastAsia="Times New Roman" w:cs="Arial"/>
          <w:sz w:val="21"/>
          <w:szCs w:val="21"/>
          <w:lang w:val="pl-PL" w:eastAsia="pl-PL"/>
        </w:rPr>
        <w:t>wielokrotnie informowała władze gmin o złożoności i długotrwałości procesu b</w:t>
      </w:r>
      <w:r w:rsidR="00AC3CC6" w:rsidRPr="0098308E">
        <w:rPr>
          <w:rFonts w:eastAsia="Times New Roman" w:cs="Arial"/>
          <w:sz w:val="21"/>
          <w:szCs w:val="21"/>
          <w:lang w:val="pl-PL" w:eastAsia="pl-PL"/>
        </w:rPr>
        <w:t>udowy elektrowni jądrowej, który</w:t>
      </w:r>
      <w:r w:rsidR="00440BC8" w:rsidRPr="0098308E">
        <w:rPr>
          <w:rFonts w:eastAsia="Times New Roman" w:cs="Arial"/>
          <w:sz w:val="21"/>
          <w:szCs w:val="21"/>
          <w:lang w:val="pl-PL" w:eastAsia="pl-PL"/>
        </w:rPr>
        <w:t xml:space="preserve"> </w:t>
      </w:r>
      <w:r w:rsidR="00AC3CC6" w:rsidRPr="0098308E">
        <w:rPr>
          <w:rFonts w:eastAsia="Times New Roman" w:cs="Arial"/>
          <w:sz w:val="21"/>
          <w:szCs w:val="21"/>
          <w:lang w:val="pl-PL" w:eastAsia="pl-PL"/>
        </w:rPr>
        <w:t>jest nieporównywalny</w:t>
      </w:r>
      <w:r w:rsidR="00440BC8" w:rsidRPr="0098308E">
        <w:rPr>
          <w:rFonts w:eastAsia="Times New Roman" w:cs="Arial"/>
          <w:sz w:val="21"/>
          <w:szCs w:val="21"/>
          <w:lang w:val="pl-PL" w:eastAsia="pl-PL"/>
        </w:rPr>
        <w:t xml:space="preserve"> z innymi projektami infrastrukturalnymi. </w:t>
      </w:r>
      <w:r w:rsidR="00F05737" w:rsidRPr="0098308E">
        <w:rPr>
          <w:rFonts w:eastAsia="Times New Roman" w:cs="Arial"/>
          <w:sz w:val="21"/>
          <w:szCs w:val="21"/>
          <w:lang w:val="pl-PL" w:eastAsia="pl-PL"/>
        </w:rPr>
        <w:t>Spółka informuje i wyjaśnia na każdym etapie projektu postępy prac oraz każde nawet najmniejsze wydarzenie dotyczące projektu. Poza szeregiem spotkań komunikacja odbywa się poprzez przesyłanie dedykowanych informacji dla poszczególnych interes</w:t>
      </w:r>
      <w:r w:rsidR="00575C23">
        <w:rPr>
          <w:rFonts w:eastAsia="Times New Roman" w:cs="Arial"/>
          <w:sz w:val="21"/>
          <w:szCs w:val="21"/>
          <w:lang w:val="pl-PL" w:eastAsia="pl-PL"/>
        </w:rPr>
        <w:t>ariuszy projektu (w tym Wójtów g</w:t>
      </w:r>
      <w:r w:rsidR="00F05737" w:rsidRPr="0098308E">
        <w:rPr>
          <w:rFonts w:eastAsia="Times New Roman" w:cs="Arial"/>
          <w:sz w:val="21"/>
          <w:szCs w:val="21"/>
          <w:lang w:val="pl-PL" w:eastAsia="pl-PL"/>
        </w:rPr>
        <w:t>min) oraz wymianę korespondencji.</w:t>
      </w:r>
    </w:p>
    <w:p w:rsidR="00F1238F" w:rsidRPr="0098308E" w:rsidRDefault="00F1238F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575C23" w:rsidRDefault="009653C4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Od 2011 r. Spółka prowadzi na terenie gmin lokalizacyjnych działania informacyjno-edukacyjne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, co roku rozwijając ich ofertę i zasięg. Spółka organizuje </w:t>
      </w:r>
      <w:r w:rsidR="00575C23">
        <w:rPr>
          <w:rFonts w:eastAsia="Times New Roman" w:cs="Arial"/>
          <w:sz w:val="21"/>
          <w:szCs w:val="21"/>
          <w:lang w:val="pl-PL" w:eastAsia="pl-PL"/>
        </w:rPr>
        <w:t xml:space="preserve">m.in. 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stoiska informacyjne podczas lokalnych wydarzeń społeczno-kulturalnych, zajęcia dla dzieci, zagraniczne wyjazdy studyjne (Hiszpania, Francja, Szwajcaria, Belgia, Holandia). </w:t>
      </w:r>
    </w:p>
    <w:p w:rsidR="00575C23" w:rsidRDefault="00575C23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F1238F" w:rsidRPr="0098308E" w:rsidRDefault="009653C4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W latach 2011-2012 Spółka</w:t>
      </w:r>
      <w:r w:rsidR="00DE55BB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 prowadziła również na terenie g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>min działalność sponsoringową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. Obejmowała ona m.in. zakup żaglówek turystycznych do wykorzystania przez dzieci i młodzież na Jeziorze Żarnowieckim oraz współfinansowanie wydarzeń kulturalnych na terenie poszczególnych gmin. </w:t>
      </w:r>
    </w:p>
    <w:p w:rsidR="00575C23" w:rsidRDefault="00575C23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F1238F" w:rsidRPr="0098308E" w:rsidRDefault="009653C4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W gminach lokalizacyjnych 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>Spółka uruchomiła ponadto nowoczesne, multimedialne Lokalne Punkty Informacyjne</w:t>
      </w:r>
      <w:r w:rsidRPr="0098308E">
        <w:rPr>
          <w:rFonts w:eastAsia="Times New Roman" w:cs="Arial"/>
          <w:sz w:val="21"/>
          <w:szCs w:val="21"/>
          <w:lang w:val="pl-PL" w:eastAsia="pl-PL"/>
        </w:rPr>
        <w:t>, w których wszystkim zainteresowanym informacji udzielają przeszkoleni w tym zakresie mieszkańcy gmin</w:t>
      </w:r>
      <w:r w:rsidR="00DC07A4" w:rsidRPr="0098308E">
        <w:rPr>
          <w:rFonts w:eastAsia="Times New Roman" w:cs="Arial"/>
          <w:sz w:val="21"/>
          <w:szCs w:val="21"/>
          <w:lang w:val="pl-PL" w:eastAsia="pl-PL"/>
        </w:rPr>
        <w:t>, będący pracownikami Spółki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. Od dwóch lat w okresie letnim Spółka organizuje także tzw. „wakacyjne LPI” w miejscach </w:t>
      </w:r>
      <w:r w:rsidR="00F05737" w:rsidRPr="0098308E">
        <w:rPr>
          <w:rFonts w:eastAsia="Times New Roman" w:cs="Arial"/>
          <w:sz w:val="21"/>
          <w:szCs w:val="21"/>
          <w:lang w:val="pl-PL" w:eastAsia="pl-PL"/>
        </w:rPr>
        <w:t>często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odwiedzanych przez turystów. </w:t>
      </w:r>
    </w:p>
    <w:p w:rsidR="00F1238F" w:rsidRPr="0098308E" w:rsidRDefault="00F1238F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D16394" w:rsidRPr="0098308E" w:rsidRDefault="00D16394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Oprócz działań edukacyjnych </w:t>
      </w:r>
      <w:r w:rsidR="000043BF">
        <w:rPr>
          <w:rFonts w:eastAsia="Times New Roman" w:cs="Arial"/>
          <w:b/>
          <w:sz w:val="21"/>
          <w:szCs w:val="21"/>
          <w:lang w:val="pl-PL" w:eastAsia="pl-PL"/>
        </w:rPr>
        <w:t>S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półka bezpośrednio lub przez Fundację PGE </w:t>
      </w:r>
      <w:r w:rsidR="00E951C0" w:rsidRPr="0098308E">
        <w:rPr>
          <w:rFonts w:eastAsia="Times New Roman" w:cs="Arial"/>
          <w:b/>
          <w:sz w:val="21"/>
          <w:szCs w:val="21"/>
          <w:lang w:val="pl-PL" w:eastAsia="pl-PL"/>
        </w:rPr>
        <w:t xml:space="preserve">– </w:t>
      </w:r>
      <w:r w:rsidRPr="0098308E">
        <w:rPr>
          <w:rFonts w:eastAsia="Times New Roman" w:cs="Arial"/>
          <w:b/>
          <w:sz w:val="21"/>
          <w:szCs w:val="21"/>
          <w:lang w:val="pl-PL" w:eastAsia="pl-PL"/>
        </w:rPr>
        <w:t>„Energia z Serca” wspiera gminy lokalizacyjne w kluczowych dla nich przedsięwzięciach</w:t>
      </w:r>
      <w:r w:rsidRPr="0098308E">
        <w:rPr>
          <w:rFonts w:eastAsia="Times New Roman" w:cs="Arial"/>
          <w:sz w:val="21"/>
          <w:szCs w:val="21"/>
          <w:lang w:val="pl-PL" w:eastAsia="pl-PL"/>
        </w:rPr>
        <w:t>. Pod koniec 2012 r. na rzecz gminy Choczewo, za pośrednictwem Spółki oraz przy udziale Fundacji PGE</w:t>
      </w:r>
      <w:r w:rsidR="00E951C0" w:rsidRPr="0098308E">
        <w:rPr>
          <w:rFonts w:eastAsia="Times New Roman" w:cs="Arial"/>
          <w:sz w:val="21"/>
          <w:szCs w:val="21"/>
          <w:lang w:val="pl-PL" w:eastAsia="pl-PL"/>
        </w:rPr>
        <w:t xml:space="preserve"> –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</w:t>
      </w:r>
      <w:r w:rsidR="00833B8D" w:rsidRPr="0098308E">
        <w:rPr>
          <w:rFonts w:eastAsia="Times New Roman" w:cs="Arial"/>
          <w:sz w:val="21"/>
          <w:szCs w:val="21"/>
          <w:lang w:val="pl-PL" w:eastAsia="pl-PL"/>
        </w:rPr>
        <w:t>„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Energia z 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Serca</w:t>
      </w:r>
      <w:r w:rsidR="00833B8D" w:rsidRPr="0098308E">
        <w:rPr>
          <w:rFonts w:eastAsia="Times New Roman" w:cs="Arial"/>
          <w:sz w:val="21"/>
          <w:szCs w:val="21"/>
          <w:lang w:val="pl-PL" w:eastAsia="pl-PL"/>
        </w:rPr>
        <w:t>”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, został zakupiony bojowy ciężki wóz strażacki. Dodatkowo Spółka przekazała darowizny także stowarzyszeniom z terenu gmin lokalizacyjnych. </w:t>
      </w:r>
    </w:p>
    <w:p w:rsidR="00F1238F" w:rsidRPr="0098308E" w:rsidRDefault="00F1238F" w:rsidP="00D1639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C830F8" w:rsidRPr="0098308E" w:rsidRDefault="00AC3CC6" w:rsidP="00C830F8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Wszelkie działania i inicjatywy podejmowane przez Spółkę na terenie gmin lokalizacyjnych były realizowane w porozumieniu z władzami samorządowymi. </w:t>
      </w:r>
      <w:r w:rsidR="00C830F8" w:rsidRPr="0098308E">
        <w:rPr>
          <w:rFonts w:eastAsia="Times New Roman" w:cs="Arial"/>
          <w:b/>
          <w:sz w:val="21"/>
          <w:szCs w:val="21"/>
          <w:lang w:val="pl-PL" w:eastAsia="pl-PL"/>
        </w:rPr>
        <w:t>Działania edukacyjne Spółki są bardzo wysoko oceniane przez mieszkańców, czemu dają wyraz m.in. w badaniach opinii społecznej.</w:t>
      </w:r>
      <w:r w:rsidR="00C830F8" w:rsidRPr="0098308E">
        <w:rPr>
          <w:rFonts w:eastAsia="Times New Roman" w:cs="Arial"/>
          <w:sz w:val="21"/>
          <w:szCs w:val="21"/>
          <w:lang w:val="pl-PL" w:eastAsia="pl-PL"/>
        </w:rPr>
        <w:t xml:space="preserve"> </w:t>
      </w:r>
      <w:r w:rsidR="00C830F8" w:rsidRPr="0098308E">
        <w:rPr>
          <w:rFonts w:eastAsia="Times New Roman" w:cs="Arial"/>
          <w:b/>
          <w:sz w:val="21"/>
          <w:szCs w:val="21"/>
          <w:lang w:val="pl-PL" w:eastAsia="pl-PL"/>
        </w:rPr>
        <w:lastRenderedPageBreak/>
        <w:t>Stale wysoki poziom poparcia w gminach lokalizacyjnych oraz deklarowany wysoki poziom wiedzy ich mieszkańców świadczyć mogą o właściwej realizacji zadań w tym zakresie</w:t>
      </w:r>
      <w:r w:rsidR="00D16394" w:rsidRPr="0098308E">
        <w:rPr>
          <w:rFonts w:eastAsia="Times New Roman" w:cs="Arial"/>
          <w:b/>
          <w:sz w:val="21"/>
          <w:szCs w:val="21"/>
          <w:lang w:val="pl-PL" w:eastAsia="pl-PL"/>
        </w:rPr>
        <w:t>.</w:t>
      </w:r>
    </w:p>
    <w:p w:rsidR="00F1238F" w:rsidRPr="0098308E" w:rsidRDefault="00F1238F" w:rsidP="009653C4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183D14" w:rsidRPr="0098308E" w:rsidRDefault="00440BC8" w:rsidP="00440BC8">
      <w:pPr>
        <w:spacing w:line="312" w:lineRule="auto"/>
        <w:jc w:val="both"/>
        <w:rPr>
          <w:rFonts w:cs="Arial"/>
          <w:sz w:val="21"/>
          <w:szCs w:val="21"/>
          <w:lang w:val="pl-PL"/>
        </w:rPr>
      </w:pPr>
      <w:r w:rsidRPr="0098308E">
        <w:rPr>
          <w:rFonts w:eastAsia="Times New Roman" w:cs="Arial"/>
          <w:b/>
          <w:sz w:val="21"/>
          <w:szCs w:val="21"/>
          <w:lang w:val="pl-PL" w:eastAsia="pl-PL"/>
        </w:rPr>
        <w:t>Z tytułu działalności Spółki na tym terenie korzyści odnoszą także lokalni przedsiębiorcy.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</w:t>
      </w:r>
      <w:r w:rsidRPr="0098308E">
        <w:rPr>
          <w:rFonts w:cs="Arial"/>
          <w:sz w:val="21"/>
          <w:szCs w:val="21"/>
          <w:lang w:val="pl-PL"/>
        </w:rPr>
        <w:t xml:space="preserve">Realizując działania komunikacyjne PGE EJ 1 zawarła umowy z lokalnymi firmami oraz z gminą, m.in. na najem pomieszczeń, monitoring i ochronę. Przy organizacji warsztatów, spotkań, konferencji PGE EJ 1 korzysta wyłącznie z usług lokalnych </w:t>
      </w:r>
      <w:r w:rsidR="00AF3B79" w:rsidRPr="0098308E">
        <w:rPr>
          <w:rFonts w:cs="Arial"/>
          <w:sz w:val="21"/>
          <w:szCs w:val="21"/>
          <w:lang w:val="pl-PL"/>
        </w:rPr>
        <w:t xml:space="preserve">firm </w:t>
      </w:r>
      <w:r w:rsidRPr="0098308E">
        <w:rPr>
          <w:rFonts w:cs="Arial"/>
          <w:sz w:val="21"/>
          <w:szCs w:val="21"/>
          <w:lang w:val="pl-PL"/>
        </w:rPr>
        <w:t xml:space="preserve">(baza noclegowa, transport, catering). </w:t>
      </w:r>
    </w:p>
    <w:p w:rsidR="00091F4E" w:rsidRDefault="00091F4E" w:rsidP="0031720B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31720B" w:rsidRPr="0098308E" w:rsidRDefault="0031720B" w:rsidP="0031720B">
      <w:pPr>
        <w:spacing w:line="312" w:lineRule="auto"/>
        <w:jc w:val="both"/>
        <w:rPr>
          <w:rFonts w:eastAsia="Times New Roman" w:cs="Arial"/>
          <w:bCs/>
          <w:sz w:val="21"/>
          <w:szCs w:val="21"/>
          <w:lang w:val="pl-PL" w:eastAsia="pl-PL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Wskazać ponadto należy, że </w:t>
      </w:r>
      <w:r w:rsidRPr="00F51D80">
        <w:rPr>
          <w:rFonts w:eastAsia="Times New Roman" w:cs="Arial"/>
          <w:b/>
          <w:sz w:val="21"/>
          <w:szCs w:val="21"/>
          <w:lang w:val="pl-PL" w:eastAsia="pl-PL"/>
        </w:rPr>
        <w:t>o</w:t>
      </w:r>
      <w:r w:rsidRPr="00F51D80">
        <w:rPr>
          <w:rFonts w:eastAsia="Times New Roman" w:cs="Arial"/>
          <w:b/>
          <w:bCs/>
          <w:sz w:val="21"/>
          <w:szCs w:val="21"/>
          <w:lang w:val="pl-PL" w:eastAsia="pl-PL"/>
        </w:rPr>
        <w:t>gólnodostępne informacje nie potwierdzają prezentowanego przez władze gmin twierdzenia o związku między  widocznym w ostatnich latach zastojem w sprzedaży nieruchomości w pasie nadmorskim Polski, a prowadzonymi przez Spółkę pracami</w:t>
      </w:r>
      <w:r w:rsidRPr="0098308E">
        <w:rPr>
          <w:rFonts w:eastAsia="Times New Roman" w:cs="Arial"/>
          <w:bCs/>
          <w:sz w:val="21"/>
          <w:szCs w:val="21"/>
          <w:lang w:val="pl-PL" w:eastAsia="pl-PL"/>
        </w:rPr>
        <w:t>.</w:t>
      </w:r>
    </w:p>
    <w:p w:rsidR="00091F4E" w:rsidRDefault="00091F4E" w:rsidP="00AC3CC6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</w:p>
    <w:p w:rsidR="00D16394" w:rsidRPr="0098308E" w:rsidRDefault="00D16394" w:rsidP="00AC3CC6">
      <w:pPr>
        <w:spacing w:line="312" w:lineRule="auto"/>
        <w:jc w:val="both"/>
        <w:rPr>
          <w:rFonts w:eastAsia="Times New Roman" w:cs="Arial"/>
          <w:sz w:val="21"/>
          <w:szCs w:val="21"/>
          <w:lang w:val="pl-PL" w:eastAsia="pl-PL"/>
        </w:rPr>
      </w:pPr>
      <w:r w:rsidRPr="0098308E">
        <w:rPr>
          <w:rFonts w:eastAsia="Times New Roman" w:cs="Arial"/>
          <w:sz w:val="21"/>
          <w:szCs w:val="21"/>
          <w:lang w:val="pl-PL" w:eastAsia="pl-PL"/>
        </w:rPr>
        <w:t>Nawiązując do argumentów gmin, dotyczących Inżyniera Kontraktu i zarzutu „pozbycia się przez PGE EJ1 wszystkich uprawnień i obowiązków inwestora”, informujemy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, że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 współpraca z Inżynierem Kontraktu jest ogólną praktyką biznesową 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 xml:space="preserve">stosowaną </w:t>
      </w:r>
      <w:r w:rsidRPr="0098308E">
        <w:rPr>
          <w:rFonts w:eastAsia="Times New Roman" w:cs="Arial"/>
          <w:sz w:val="21"/>
          <w:szCs w:val="21"/>
          <w:lang w:val="pl-PL" w:eastAsia="pl-PL"/>
        </w:rPr>
        <w:t>na całym świecie, przy wszystkich istotnych  projektach inwestycyjnych. Wybór Inżyn</w:t>
      </w:r>
      <w:r w:rsidR="000043BF">
        <w:rPr>
          <w:rFonts w:eastAsia="Times New Roman" w:cs="Arial"/>
          <w:sz w:val="21"/>
          <w:szCs w:val="21"/>
          <w:lang w:val="pl-PL" w:eastAsia="pl-PL"/>
        </w:rPr>
        <w:t>iera K</w:t>
      </w:r>
      <w:r w:rsidR="00575C23">
        <w:rPr>
          <w:rFonts w:eastAsia="Times New Roman" w:cs="Arial"/>
          <w:sz w:val="21"/>
          <w:szCs w:val="21"/>
          <w:lang w:val="pl-PL" w:eastAsia="pl-PL"/>
        </w:rPr>
        <w:t>ontraktu nie zwalnia S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półki 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 xml:space="preserve">PGE EJ 1 </w:t>
      </w:r>
      <w:r w:rsidRPr="0098308E">
        <w:rPr>
          <w:rFonts w:eastAsia="Times New Roman" w:cs="Arial"/>
          <w:sz w:val="21"/>
          <w:szCs w:val="21"/>
          <w:lang w:val="pl-PL" w:eastAsia="pl-PL"/>
        </w:rPr>
        <w:t>z odpowiedzialności i obowiązku prowadzenia działań</w:t>
      </w:r>
      <w:r w:rsidR="00785980" w:rsidRPr="0098308E">
        <w:rPr>
          <w:rFonts w:eastAsia="Times New Roman" w:cs="Arial"/>
          <w:sz w:val="21"/>
          <w:szCs w:val="21"/>
          <w:lang w:val="pl-PL" w:eastAsia="pl-PL"/>
        </w:rPr>
        <w:t xml:space="preserve"> wynikających m.in. z PPEJ.  P</w:t>
      </w:r>
      <w:r w:rsidRPr="0098308E">
        <w:rPr>
          <w:rFonts w:eastAsia="Times New Roman" w:cs="Arial"/>
          <w:sz w:val="21"/>
          <w:szCs w:val="21"/>
          <w:lang w:val="pl-PL" w:eastAsia="pl-PL"/>
        </w:rPr>
        <w:t>odpisanie umowy z wybranym wykonawcą, pozwoli m.in. na uruchomienie kolejnych działań, w tym wybór partnera strategicznego w ramach postępowania zintegrowanego. Inżynier Kontraktu wspiera PGE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 </w:t>
      </w:r>
      <w:r w:rsidRPr="0098308E">
        <w:rPr>
          <w:rFonts w:eastAsia="Times New Roman" w:cs="Arial"/>
          <w:sz w:val="21"/>
          <w:szCs w:val="21"/>
          <w:lang w:val="pl-PL" w:eastAsia="pl-PL"/>
        </w:rPr>
        <w:t>EJ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 </w:t>
      </w:r>
      <w:r w:rsidR="000043BF">
        <w:rPr>
          <w:rFonts w:eastAsia="Times New Roman" w:cs="Arial"/>
          <w:sz w:val="21"/>
          <w:szCs w:val="21"/>
          <w:lang w:val="pl-PL" w:eastAsia="pl-PL"/>
        </w:rPr>
        <w:t xml:space="preserve">1 </w:t>
      </w:r>
      <w:r w:rsidRPr="0098308E">
        <w:rPr>
          <w:rFonts w:eastAsia="Times New Roman" w:cs="Arial"/>
          <w:sz w:val="21"/>
          <w:szCs w:val="21"/>
          <w:lang w:val="pl-PL" w:eastAsia="pl-PL"/>
        </w:rPr>
        <w:t>w przygotowaniu i realizacji projektu budowy elektrowni jądrowej. O zakresie działań i</w:t>
      </w:r>
      <w:r w:rsidR="00AF3B79" w:rsidRPr="0098308E">
        <w:rPr>
          <w:rFonts w:eastAsia="Times New Roman" w:cs="Arial"/>
          <w:sz w:val="21"/>
          <w:szCs w:val="21"/>
          <w:lang w:val="pl-PL" w:eastAsia="pl-PL"/>
        </w:rPr>
        <w:t> </w:t>
      </w:r>
      <w:r w:rsidRPr="0098308E">
        <w:rPr>
          <w:rFonts w:eastAsia="Times New Roman" w:cs="Arial"/>
          <w:sz w:val="21"/>
          <w:szCs w:val="21"/>
          <w:lang w:val="pl-PL" w:eastAsia="pl-PL"/>
        </w:rPr>
        <w:t xml:space="preserve">przedmiocie umowy władze gmin były informowane wielokrotnie. </w:t>
      </w:r>
    </w:p>
    <w:p w:rsidR="00F1238F" w:rsidRPr="0098308E" w:rsidRDefault="00F1238F" w:rsidP="004F2397">
      <w:pPr>
        <w:spacing w:line="312" w:lineRule="auto"/>
        <w:jc w:val="both"/>
        <w:rPr>
          <w:rFonts w:cs="Arial"/>
          <w:sz w:val="21"/>
          <w:szCs w:val="21"/>
          <w:lang w:val="pl-PL"/>
        </w:rPr>
      </w:pPr>
    </w:p>
    <w:p w:rsidR="00323754" w:rsidRPr="0098308E" w:rsidRDefault="00DC07A4" w:rsidP="004F2397">
      <w:pPr>
        <w:spacing w:line="312" w:lineRule="auto"/>
        <w:jc w:val="both"/>
        <w:rPr>
          <w:rFonts w:cs="Arial"/>
          <w:b/>
          <w:sz w:val="21"/>
          <w:szCs w:val="21"/>
          <w:lang w:val="pl-PL"/>
        </w:rPr>
      </w:pPr>
      <w:r w:rsidRPr="0098308E">
        <w:rPr>
          <w:rFonts w:cs="Arial"/>
          <w:b/>
          <w:sz w:val="21"/>
          <w:szCs w:val="21"/>
          <w:lang w:val="pl-PL"/>
        </w:rPr>
        <w:t>Zarząd PGE EJ 1 oświadcza</w:t>
      </w:r>
      <w:r w:rsidR="00AF3B79" w:rsidRPr="0098308E">
        <w:rPr>
          <w:rFonts w:cs="Arial"/>
          <w:b/>
          <w:sz w:val="21"/>
          <w:szCs w:val="21"/>
          <w:lang w:val="pl-PL"/>
        </w:rPr>
        <w:t>,</w:t>
      </w:r>
      <w:r w:rsidRPr="0098308E">
        <w:rPr>
          <w:rFonts w:cs="Arial"/>
          <w:b/>
          <w:sz w:val="21"/>
          <w:szCs w:val="21"/>
          <w:lang w:val="pl-PL"/>
        </w:rPr>
        <w:t xml:space="preserve"> że jest gotowy do prowadzenia dalszego, otwartego dialogu z władzami gmin Choczewo, Gniewino i Krokowa na każdym etapie projektu oraz działań wspierających gminy, adekwatnych do etapu realizowanego projektu inwestycyjnego. </w:t>
      </w:r>
    </w:p>
    <w:sectPr w:rsidR="00323754" w:rsidRPr="0098308E" w:rsidSect="002E109D">
      <w:headerReference w:type="even" r:id="rId12"/>
      <w:footerReference w:type="default" r:id="rId13"/>
      <w:headerReference w:type="first" r:id="rId14"/>
      <w:footerReference w:type="first" r:id="rId15"/>
      <w:pgSz w:w="11900" w:h="16840"/>
      <w:pgMar w:top="1814" w:right="985" w:bottom="2892" w:left="1276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9B" w:rsidRDefault="0003509B">
      <w:r>
        <w:separator/>
      </w:r>
    </w:p>
  </w:endnote>
  <w:endnote w:type="continuationSeparator" w:id="0">
    <w:p w:rsidR="0003509B" w:rsidRDefault="000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376190"/>
      <w:docPartObj>
        <w:docPartGallery w:val="Page Numbers (Bottom of Page)"/>
        <w:docPartUnique/>
      </w:docPartObj>
    </w:sdtPr>
    <w:sdtEndPr/>
    <w:sdtContent>
      <w:p w:rsidR="00C44BB8" w:rsidRDefault="00594A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E2" w:rsidRPr="00E269E2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C44BB8" w:rsidRDefault="00C44BB8" w:rsidP="003D03E5">
    <w:pPr>
      <w:pStyle w:val="Stopka"/>
      <w:tabs>
        <w:tab w:val="left" w:pos="10490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8" w:rsidRDefault="00065B71" w:rsidP="003D03E5">
    <w:pPr>
      <w:pStyle w:val="Stopka"/>
      <w:ind w:left="-1560"/>
    </w:pPr>
    <w:r>
      <w:rPr>
        <w:rFonts w:eastAsia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posOffset>337185</wp:posOffset>
              </wp:positionH>
              <wp:positionV relativeFrom="margin">
                <wp:posOffset>8761730</wp:posOffset>
              </wp:positionV>
              <wp:extent cx="519430" cy="23749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B8" w:rsidRPr="0009509F" w:rsidRDefault="00B4368E" w:rsidP="002E0B82">
                          <w:pPr>
                            <w:pStyle w:val="Stopka"/>
                            <w:jc w:val="center"/>
                            <w:rPr>
                              <w:rFonts w:cs="Arial"/>
                              <w:color w:val="152D65"/>
                              <w:sz w:val="20"/>
                              <w:szCs w:val="20"/>
                            </w:rPr>
                          </w:pPr>
                          <w:r w:rsidRPr="0009509F">
                            <w:rPr>
                              <w:rFonts w:cs="Arial"/>
                              <w:color w:val="152D65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44BB8" w:rsidRPr="0009509F">
                            <w:rPr>
                              <w:rFonts w:cs="Arial"/>
                              <w:color w:val="152D65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09509F">
                            <w:rPr>
                              <w:rFonts w:cs="Arial"/>
                              <w:color w:val="152D6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69E2">
                            <w:rPr>
                              <w:rFonts w:cs="Arial"/>
                              <w:noProof/>
                              <w:color w:val="152D65"/>
                              <w:sz w:val="20"/>
                              <w:szCs w:val="20"/>
                            </w:rPr>
                            <w:t>1</w:t>
                          </w:r>
                          <w:r w:rsidRPr="0009509F">
                            <w:rPr>
                              <w:rFonts w:cs="Arial"/>
                              <w:color w:val="152D6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26.55pt;margin-top:689.9pt;width:40.9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" o:allowincell="f" filled="f" stroked="f">
              <v:textbox style="mso-fit-shape-to-text:t">
                <w:txbxContent>
                  <w:p w:rsidR="00C44BB8" w:rsidRPr="0009509F" w:rsidRDefault="00B4368E" w:rsidP="002E0B82">
                    <w:pPr>
                      <w:pStyle w:val="Stopka"/>
                      <w:jc w:val="center"/>
                      <w:rPr>
                        <w:rFonts w:cs="Arial"/>
                        <w:color w:val="152D65"/>
                        <w:sz w:val="20"/>
                        <w:szCs w:val="20"/>
                      </w:rPr>
                    </w:pPr>
                    <w:r w:rsidRPr="0009509F">
                      <w:rPr>
                        <w:rFonts w:cs="Arial"/>
                        <w:color w:val="152D65"/>
                        <w:sz w:val="20"/>
                        <w:szCs w:val="20"/>
                      </w:rPr>
                      <w:fldChar w:fldCharType="begin"/>
                    </w:r>
                    <w:r w:rsidR="00C44BB8" w:rsidRPr="0009509F">
                      <w:rPr>
                        <w:rFonts w:cs="Arial"/>
                        <w:color w:val="152D65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09509F">
                      <w:rPr>
                        <w:rFonts w:cs="Arial"/>
                        <w:color w:val="152D65"/>
                        <w:sz w:val="20"/>
                        <w:szCs w:val="20"/>
                      </w:rPr>
                      <w:fldChar w:fldCharType="separate"/>
                    </w:r>
                    <w:r w:rsidR="00E269E2">
                      <w:rPr>
                        <w:rFonts w:cs="Arial"/>
                        <w:noProof/>
                        <w:color w:val="152D65"/>
                        <w:sz w:val="20"/>
                        <w:szCs w:val="20"/>
                      </w:rPr>
                      <w:t>1</w:t>
                    </w:r>
                    <w:r w:rsidRPr="0009509F">
                      <w:rPr>
                        <w:rFonts w:cs="Arial"/>
                        <w:color w:val="152D6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83820</wp:posOffset>
              </wp:positionV>
              <wp:extent cx="5948680" cy="679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BB8" w:rsidRPr="0050246A" w:rsidRDefault="00C44BB8" w:rsidP="0050246A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159"/>
                            <w:jc w:val="both"/>
                            <w:rPr>
                              <w:rFonts w:cs="Arial"/>
                              <w:color w:val="152D65"/>
                              <w:sz w:val="14"/>
                              <w:szCs w:val="14"/>
                              <w:lang w:val="pl-PL" w:eastAsia="pl-PL"/>
                            </w:rPr>
                          </w:pPr>
                          <w:r w:rsidRPr="0050246A">
                            <w:rPr>
                              <w:rFonts w:cs="Arial"/>
                              <w:b/>
                              <w:bCs/>
                              <w:color w:val="152D65"/>
                              <w:sz w:val="14"/>
                              <w:szCs w:val="14"/>
                              <w:lang w:val="pl-PL" w:eastAsia="pl-PL"/>
                            </w:rPr>
                            <w:t>PGE EJ 1 Sp. z o.o. z siedzibą w Warszawie</w:t>
                          </w:r>
                          <w:r w:rsidRPr="0050246A">
                            <w:rPr>
                              <w:rFonts w:cs="Arial"/>
                              <w:color w:val="152D65"/>
                              <w:sz w:val="14"/>
                              <w:szCs w:val="14"/>
                              <w:lang w:val="pl-PL" w:eastAsia="pl-PL"/>
                            </w:rPr>
                            <w:t xml:space="preserve">, 00-496 Warszawa, ul. Mysia 2, wpisana do Krajowego Rejestru Sądowego prowadzonego przez Sąd Rejonowy dla m.st. Warszawy, XII Wydział Gospodarczy pod numerem KRS: 0000347416, NIP: 701-021-82-99, REGON: 142242032, Kapitał zakładowy: 73 000 000 zł. Kapitał wpłacony: 73 000 000 zł. Konto bankowe: Bank Pekao SA, nr: 21 1240 6292 1111 0010 2943 7844. </w:t>
                          </w:r>
                          <w:r w:rsidRPr="0050246A">
                            <w:rPr>
                              <w:rFonts w:cs="Arial"/>
                              <w:b/>
                              <w:bCs/>
                              <w:color w:val="152D65"/>
                              <w:sz w:val="14"/>
                              <w:szCs w:val="14"/>
                              <w:lang w:val="pl-PL" w:eastAsia="pl-PL"/>
                            </w:rPr>
                            <w:t>www.pgeej1.pl</w:t>
                          </w:r>
                        </w:p>
                        <w:p w:rsidR="00C44BB8" w:rsidRPr="00077136" w:rsidRDefault="00C44BB8" w:rsidP="00AD43E6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147"/>
                            <w:jc w:val="both"/>
                            <w:rPr>
                              <w:rFonts w:cs="Arial"/>
                              <w:color w:val="152D65"/>
                              <w:sz w:val="14"/>
                              <w:szCs w:val="14"/>
                              <w:lang w:val="pl-PL"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2.15pt;margin-top:6.6pt;width:468.4pt;height:53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" stroked="f">
              <v:textbox style="mso-fit-shape-to-text:t">
                <w:txbxContent>
                  <w:p w:rsidR="00C44BB8" w:rsidRPr="0050246A" w:rsidRDefault="00C44BB8" w:rsidP="0050246A">
                    <w:pPr>
                      <w:autoSpaceDE w:val="0"/>
                      <w:autoSpaceDN w:val="0"/>
                      <w:adjustRightInd w:val="0"/>
                      <w:spacing w:line="276" w:lineRule="auto"/>
                      <w:ind w:right="159"/>
                      <w:jc w:val="both"/>
                      <w:rPr>
                        <w:rFonts w:cs="Arial"/>
                        <w:color w:val="152D65"/>
                        <w:sz w:val="14"/>
                        <w:szCs w:val="14"/>
                        <w:lang w:val="pl-PL" w:eastAsia="pl-PL"/>
                      </w:rPr>
                    </w:pPr>
                    <w:r w:rsidRPr="0050246A">
                      <w:rPr>
                        <w:rFonts w:cs="Arial"/>
                        <w:b/>
                        <w:bCs/>
                        <w:color w:val="152D65"/>
                        <w:sz w:val="14"/>
                        <w:szCs w:val="14"/>
                        <w:lang w:val="pl-PL" w:eastAsia="pl-PL"/>
                      </w:rPr>
                      <w:t>PGE EJ 1 Sp. z o.o. z siedzibą w Warszawie</w:t>
                    </w:r>
                    <w:r w:rsidRPr="0050246A">
                      <w:rPr>
                        <w:rFonts w:cs="Arial"/>
                        <w:color w:val="152D65"/>
                        <w:sz w:val="14"/>
                        <w:szCs w:val="14"/>
                        <w:lang w:val="pl-PL" w:eastAsia="pl-PL"/>
                      </w:rPr>
                      <w:t xml:space="preserve">, 00-496 Warszawa, ul. Mysia 2, wpisana do Krajowego Rejestru Sądowego prowadzonego przez Sąd Rejonowy dla m.st. Warszawy, XII Wydział Gospodarczy pod numerem KRS: 0000347416, NIP: 701-021-82-99, REGON: 142242032, Kapitał zakładowy: 73 000 000 zł. Kapitał wpłacony: 73 000 000 zł. Konto bankowe: Bank Pekao SA, nr: 21 1240 6292 1111 0010 2943 7844. </w:t>
                    </w:r>
                    <w:r w:rsidRPr="0050246A">
                      <w:rPr>
                        <w:rFonts w:cs="Arial"/>
                        <w:b/>
                        <w:bCs/>
                        <w:color w:val="152D65"/>
                        <w:sz w:val="14"/>
                        <w:szCs w:val="14"/>
                        <w:lang w:val="pl-PL" w:eastAsia="pl-PL"/>
                      </w:rPr>
                      <w:t>www.pgeej1.pl</w:t>
                    </w:r>
                  </w:p>
                  <w:p w:rsidR="00C44BB8" w:rsidRPr="00077136" w:rsidRDefault="00C44BB8" w:rsidP="00AD43E6">
                    <w:pPr>
                      <w:autoSpaceDE w:val="0"/>
                      <w:autoSpaceDN w:val="0"/>
                      <w:adjustRightInd w:val="0"/>
                      <w:spacing w:line="276" w:lineRule="auto"/>
                      <w:ind w:right="147"/>
                      <w:jc w:val="both"/>
                      <w:rPr>
                        <w:rFonts w:cs="Arial"/>
                        <w:color w:val="152D65"/>
                        <w:sz w:val="14"/>
                        <w:szCs w:val="14"/>
                        <w:lang w:val="pl-PL"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C44BB8">
      <w:rPr>
        <w:noProof/>
        <w:lang w:val="pl-PL" w:eastAsia="pl-PL"/>
      </w:rPr>
      <w:drawing>
        <wp:inline distT="0" distB="0" distL="0" distR="0">
          <wp:extent cx="7556400" cy="1578513"/>
          <wp:effectExtent l="19050" t="0" r="6450" b="0"/>
          <wp:docPr id="5" name="Obraz 5" descr="C:\Users\jbujak\Desktop\stopka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ujak\Desktop\stopka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5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9B" w:rsidRDefault="0003509B">
      <w:r>
        <w:separator/>
      </w:r>
    </w:p>
  </w:footnote>
  <w:footnote w:type="continuationSeparator" w:id="0">
    <w:p w:rsidR="0003509B" w:rsidRDefault="0003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8" w:rsidRDefault="000350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Papier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4" w:type="dxa"/>
      <w:jc w:val="center"/>
      <w:tblInd w:w="35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0"/>
      <w:gridCol w:w="6654"/>
    </w:tblGrid>
    <w:tr w:rsidR="00C44BB8" w:rsidRPr="0098308E" w:rsidTr="00525797">
      <w:trPr>
        <w:trHeight w:val="994"/>
        <w:jc w:val="center"/>
      </w:trPr>
      <w:tc>
        <w:tcPr>
          <w:tcW w:w="2450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  <w:hideMark/>
        </w:tcPr>
        <w:p w:rsidR="00C44BB8" w:rsidRDefault="00C44BB8">
          <w:pPr>
            <w:pStyle w:val="Nagwek"/>
            <w:ind w:left="-91"/>
            <w:jc w:val="both"/>
            <w:rPr>
              <w:rFonts w:eastAsia="Times New Roman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38275" cy="600075"/>
                <wp:effectExtent l="0" t="0" r="9525" b="9525"/>
                <wp:docPr id="2" name="Obraz 2" descr="logo_papier_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apier_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  <w:tcBorders>
            <w:top w:val="nil"/>
            <w:left w:val="single" w:sz="12" w:space="0" w:color="002060"/>
            <w:bottom w:val="nil"/>
            <w:right w:val="nil"/>
          </w:tcBorders>
          <w:tcMar>
            <w:top w:w="0" w:type="dxa"/>
            <w:left w:w="284" w:type="dxa"/>
            <w:bottom w:w="0" w:type="dxa"/>
            <w:right w:w="108" w:type="dxa"/>
          </w:tcMar>
          <w:vAlign w:val="center"/>
          <w:hideMark/>
        </w:tcPr>
        <w:p w:rsidR="00C44BB8" w:rsidRPr="0050246A" w:rsidRDefault="00C44BB8" w:rsidP="0050246A">
          <w:pPr>
            <w:pStyle w:val="Nagwek"/>
            <w:rPr>
              <w:b/>
              <w:color w:val="002060"/>
              <w:sz w:val="16"/>
              <w:szCs w:val="16"/>
              <w:lang w:val="pl-PL"/>
            </w:rPr>
          </w:pPr>
          <w:r w:rsidRPr="0050246A">
            <w:rPr>
              <w:b/>
              <w:color w:val="002060"/>
              <w:sz w:val="16"/>
              <w:szCs w:val="16"/>
              <w:lang w:val="pl-PL"/>
            </w:rPr>
            <w:t>PGE EJ 1 Sp. z o.o.</w:t>
          </w:r>
        </w:p>
        <w:p w:rsidR="00C44BB8" w:rsidRPr="0050246A" w:rsidRDefault="00C44BB8" w:rsidP="0050246A">
          <w:pPr>
            <w:pStyle w:val="Nagwek"/>
            <w:rPr>
              <w:color w:val="002060"/>
              <w:sz w:val="16"/>
              <w:szCs w:val="16"/>
              <w:lang w:val="pl-PL"/>
            </w:rPr>
          </w:pPr>
          <w:r w:rsidRPr="0050246A">
            <w:rPr>
              <w:color w:val="002060"/>
              <w:sz w:val="16"/>
              <w:szCs w:val="16"/>
              <w:lang w:val="pl-PL"/>
            </w:rPr>
            <w:t>00-496 Warszawa, ul. Mysia 2</w:t>
          </w:r>
        </w:p>
        <w:p w:rsidR="00C44BB8" w:rsidRPr="00F024B3" w:rsidRDefault="00C44BB8" w:rsidP="0050246A">
          <w:pPr>
            <w:pStyle w:val="Nagwek"/>
            <w:rPr>
              <w:rFonts w:eastAsia="Times New Roman"/>
              <w:b/>
              <w:color w:val="002060"/>
              <w:sz w:val="18"/>
              <w:szCs w:val="18"/>
              <w:lang w:val="pl-PL"/>
            </w:rPr>
          </w:pPr>
          <w:r w:rsidRPr="0050246A">
            <w:rPr>
              <w:color w:val="002060"/>
              <w:sz w:val="16"/>
              <w:szCs w:val="16"/>
              <w:lang w:val="pl-PL"/>
            </w:rPr>
            <w:t>tel. 22 340 10 53, fax 22 340 10 41</w:t>
          </w:r>
        </w:p>
      </w:tc>
    </w:tr>
  </w:tbl>
  <w:p w:rsidR="00C44BB8" w:rsidRPr="00F024B3" w:rsidRDefault="00C44BB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07A"/>
    <w:multiLevelType w:val="hybridMultilevel"/>
    <w:tmpl w:val="59383F56"/>
    <w:lvl w:ilvl="0" w:tplc="51BC1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20589"/>
    <w:multiLevelType w:val="hybridMultilevel"/>
    <w:tmpl w:val="F1E0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77F4E"/>
    <w:multiLevelType w:val="hybridMultilevel"/>
    <w:tmpl w:val="6D4EA3DC"/>
    <w:lvl w:ilvl="0" w:tplc="BBBEDD2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7474CA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2645B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D0286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5E406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B074B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3845D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1CA60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880462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66600BF"/>
    <w:multiLevelType w:val="hybridMultilevel"/>
    <w:tmpl w:val="7674AF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2255AB"/>
    <w:multiLevelType w:val="hybridMultilevel"/>
    <w:tmpl w:val="AEBA960E"/>
    <w:lvl w:ilvl="0" w:tplc="189CA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4155C"/>
    <w:multiLevelType w:val="hybridMultilevel"/>
    <w:tmpl w:val="514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A7A"/>
    <w:multiLevelType w:val="hybridMultilevel"/>
    <w:tmpl w:val="8B441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A62F3"/>
    <w:multiLevelType w:val="hybridMultilevel"/>
    <w:tmpl w:val="AB4AC53E"/>
    <w:lvl w:ilvl="0" w:tplc="65F6FB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236DB"/>
    <w:multiLevelType w:val="hybridMultilevel"/>
    <w:tmpl w:val="4FBC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E00F3"/>
    <w:multiLevelType w:val="hybridMultilevel"/>
    <w:tmpl w:val="6C4E699E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A1F"/>
    <w:multiLevelType w:val="hybridMultilevel"/>
    <w:tmpl w:val="A87E98CE"/>
    <w:lvl w:ilvl="0" w:tplc="90F23F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22226"/>
    <w:multiLevelType w:val="hybridMultilevel"/>
    <w:tmpl w:val="95A68A1A"/>
    <w:lvl w:ilvl="0" w:tplc="189CA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02ED5"/>
    <w:multiLevelType w:val="hybridMultilevel"/>
    <w:tmpl w:val="C9844F7C"/>
    <w:lvl w:ilvl="0" w:tplc="51BC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61ED"/>
    <w:multiLevelType w:val="hybridMultilevel"/>
    <w:tmpl w:val="3EFA4BB4"/>
    <w:lvl w:ilvl="0" w:tplc="189CA0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6380EFC">
      <w:start w:val="1"/>
      <w:numFmt w:val="bullet"/>
      <w:lvlText w:val="―"/>
      <w:lvlJc w:val="left"/>
      <w:pPr>
        <w:ind w:left="108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E05EB"/>
    <w:multiLevelType w:val="hybridMultilevel"/>
    <w:tmpl w:val="59767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B6EF4"/>
    <w:multiLevelType w:val="hybridMultilevel"/>
    <w:tmpl w:val="B3D2F610"/>
    <w:lvl w:ilvl="0" w:tplc="51BC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BC1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86853"/>
    <w:multiLevelType w:val="hybridMultilevel"/>
    <w:tmpl w:val="0616C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75CB2"/>
    <w:multiLevelType w:val="hybridMultilevel"/>
    <w:tmpl w:val="86CCEB50"/>
    <w:lvl w:ilvl="0" w:tplc="C02003E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760AB"/>
    <w:multiLevelType w:val="hybridMultilevel"/>
    <w:tmpl w:val="9DA42184"/>
    <w:lvl w:ilvl="0" w:tplc="51BC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6B31"/>
    <w:multiLevelType w:val="hybridMultilevel"/>
    <w:tmpl w:val="0BC60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883D8C"/>
    <w:multiLevelType w:val="hybridMultilevel"/>
    <w:tmpl w:val="C2C6D122"/>
    <w:lvl w:ilvl="0" w:tplc="51BC1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FE3925"/>
    <w:multiLevelType w:val="hybridMultilevel"/>
    <w:tmpl w:val="081A3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E66951"/>
    <w:multiLevelType w:val="hybridMultilevel"/>
    <w:tmpl w:val="3466B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7"/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19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0"/>
  </w:num>
  <w:num w:numId="15">
    <w:abstractNumId w:val="18"/>
  </w:num>
  <w:num w:numId="16">
    <w:abstractNumId w:val="12"/>
  </w:num>
  <w:num w:numId="17">
    <w:abstractNumId w:val="20"/>
  </w:num>
  <w:num w:numId="18">
    <w:abstractNumId w:val="16"/>
  </w:num>
  <w:num w:numId="19">
    <w:abstractNumId w:val="22"/>
  </w:num>
  <w:num w:numId="20">
    <w:abstractNumId w:val="4"/>
  </w:num>
  <w:num w:numId="21">
    <w:abstractNumId w:val="11"/>
  </w:num>
  <w:num w:numId="22">
    <w:abstractNumId w:val="1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4"/>
    <w:rsid w:val="000043BF"/>
    <w:rsid w:val="000130FB"/>
    <w:rsid w:val="000229CF"/>
    <w:rsid w:val="0002461D"/>
    <w:rsid w:val="0003509B"/>
    <w:rsid w:val="00042D5D"/>
    <w:rsid w:val="000505EE"/>
    <w:rsid w:val="00065B71"/>
    <w:rsid w:val="00077136"/>
    <w:rsid w:val="00091F4E"/>
    <w:rsid w:val="0009509F"/>
    <w:rsid w:val="000A5559"/>
    <w:rsid w:val="000A68C9"/>
    <w:rsid w:val="000C051E"/>
    <w:rsid w:val="000D7571"/>
    <w:rsid w:val="000F6D95"/>
    <w:rsid w:val="00120FB9"/>
    <w:rsid w:val="001468E2"/>
    <w:rsid w:val="00172323"/>
    <w:rsid w:val="00175B89"/>
    <w:rsid w:val="00183D14"/>
    <w:rsid w:val="001A6183"/>
    <w:rsid w:val="001C4B94"/>
    <w:rsid w:val="001C78B6"/>
    <w:rsid w:val="001D27B6"/>
    <w:rsid w:val="001E3977"/>
    <w:rsid w:val="00200486"/>
    <w:rsid w:val="002134AC"/>
    <w:rsid w:val="00227B1B"/>
    <w:rsid w:val="002721B6"/>
    <w:rsid w:val="0027771B"/>
    <w:rsid w:val="002A7149"/>
    <w:rsid w:val="002A7B36"/>
    <w:rsid w:val="002C23FC"/>
    <w:rsid w:val="002C4958"/>
    <w:rsid w:val="002D7F34"/>
    <w:rsid w:val="002E0B82"/>
    <w:rsid w:val="002E109D"/>
    <w:rsid w:val="002E4E00"/>
    <w:rsid w:val="002F2400"/>
    <w:rsid w:val="002F6D9B"/>
    <w:rsid w:val="003006C5"/>
    <w:rsid w:val="003137EB"/>
    <w:rsid w:val="00314128"/>
    <w:rsid w:val="00315431"/>
    <w:rsid w:val="0031720B"/>
    <w:rsid w:val="00320EAD"/>
    <w:rsid w:val="00323754"/>
    <w:rsid w:val="00337026"/>
    <w:rsid w:val="003402D6"/>
    <w:rsid w:val="00342A40"/>
    <w:rsid w:val="00355F81"/>
    <w:rsid w:val="003568C1"/>
    <w:rsid w:val="00361345"/>
    <w:rsid w:val="003776B9"/>
    <w:rsid w:val="003A01C0"/>
    <w:rsid w:val="003B7CEB"/>
    <w:rsid w:val="003D03E5"/>
    <w:rsid w:val="003D4563"/>
    <w:rsid w:val="003E1020"/>
    <w:rsid w:val="003E2F30"/>
    <w:rsid w:val="003E4AA7"/>
    <w:rsid w:val="003E6B88"/>
    <w:rsid w:val="0040386B"/>
    <w:rsid w:val="00414AA1"/>
    <w:rsid w:val="004315CE"/>
    <w:rsid w:val="004344E7"/>
    <w:rsid w:val="00434785"/>
    <w:rsid w:val="00436685"/>
    <w:rsid w:val="00440BC8"/>
    <w:rsid w:val="0045369C"/>
    <w:rsid w:val="0045432C"/>
    <w:rsid w:val="004726CE"/>
    <w:rsid w:val="00475DF1"/>
    <w:rsid w:val="004B6ED5"/>
    <w:rsid w:val="004D07E5"/>
    <w:rsid w:val="004D20D8"/>
    <w:rsid w:val="004F2397"/>
    <w:rsid w:val="004F2F5D"/>
    <w:rsid w:val="004F4410"/>
    <w:rsid w:val="004F67C2"/>
    <w:rsid w:val="0050246A"/>
    <w:rsid w:val="00513DE3"/>
    <w:rsid w:val="005236D6"/>
    <w:rsid w:val="00525797"/>
    <w:rsid w:val="00543F0D"/>
    <w:rsid w:val="00572B07"/>
    <w:rsid w:val="00575C23"/>
    <w:rsid w:val="00575E13"/>
    <w:rsid w:val="0058434A"/>
    <w:rsid w:val="005927C1"/>
    <w:rsid w:val="00594A69"/>
    <w:rsid w:val="005A202D"/>
    <w:rsid w:val="005A6D70"/>
    <w:rsid w:val="006009BB"/>
    <w:rsid w:val="00645378"/>
    <w:rsid w:val="00663858"/>
    <w:rsid w:val="0066654E"/>
    <w:rsid w:val="00673B77"/>
    <w:rsid w:val="00681774"/>
    <w:rsid w:val="0069719B"/>
    <w:rsid w:val="006B3E33"/>
    <w:rsid w:val="006C09A0"/>
    <w:rsid w:val="006C3F3A"/>
    <w:rsid w:val="006C7945"/>
    <w:rsid w:val="006D6DD5"/>
    <w:rsid w:val="006E0F4C"/>
    <w:rsid w:val="006F7AE5"/>
    <w:rsid w:val="007025DA"/>
    <w:rsid w:val="0070391A"/>
    <w:rsid w:val="007102A1"/>
    <w:rsid w:val="00737AE6"/>
    <w:rsid w:val="0074309C"/>
    <w:rsid w:val="00745539"/>
    <w:rsid w:val="00756C6B"/>
    <w:rsid w:val="00761B0E"/>
    <w:rsid w:val="007750B3"/>
    <w:rsid w:val="00785980"/>
    <w:rsid w:val="007A6195"/>
    <w:rsid w:val="007B18EC"/>
    <w:rsid w:val="007B39F0"/>
    <w:rsid w:val="007D2C87"/>
    <w:rsid w:val="007E3F85"/>
    <w:rsid w:val="007E44FD"/>
    <w:rsid w:val="00803E73"/>
    <w:rsid w:val="00807EDD"/>
    <w:rsid w:val="00811E8B"/>
    <w:rsid w:val="008265AA"/>
    <w:rsid w:val="00830210"/>
    <w:rsid w:val="00833B8D"/>
    <w:rsid w:val="008546EB"/>
    <w:rsid w:val="00863174"/>
    <w:rsid w:val="008641BA"/>
    <w:rsid w:val="00872EDC"/>
    <w:rsid w:val="00892B70"/>
    <w:rsid w:val="008935B6"/>
    <w:rsid w:val="00895314"/>
    <w:rsid w:val="008A1307"/>
    <w:rsid w:val="008B0AF1"/>
    <w:rsid w:val="008C1815"/>
    <w:rsid w:val="008E656F"/>
    <w:rsid w:val="00900B20"/>
    <w:rsid w:val="0090592F"/>
    <w:rsid w:val="00907543"/>
    <w:rsid w:val="00922245"/>
    <w:rsid w:val="00930D82"/>
    <w:rsid w:val="009336C4"/>
    <w:rsid w:val="00947DAC"/>
    <w:rsid w:val="009653C4"/>
    <w:rsid w:val="009676D5"/>
    <w:rsid w:val="00977887"/>
    <w:rsid w:val="0098308E"/>
    <w:rsid w:val="00986C77"/>
    <w:rsid w:val="009B5D74"/>
    <w:rsid w:val="009C2E99"/>
    <w:rsid w:val="009C7A16"/>
    <w:rsid w:val="00A03829"/>
    <w:rsid w:val="00A3252C"/>
    <w:rsid w:val="00A557CB"/>
    <w:rsid w:val="00A65221"/>
    <w:rsid w:val="00A70A77"/>
    <w:rsid w:val="00A737C5"/>
    <w:rsid w:val="00A80473"/>
    <w:rsid w:val="00A82574"/>
    <w:rsid w:val="00A82612"/>
    <w:rsid w:val="00AB45FB"/>
    <w:rsid w:val="00AC3CC6"/>
    <w:rsid w:val="00AC733E"/>
    <w:rsid w:val="00AD306F"/>
    <w:rsid w:val="00AD43E6"/>
    <w:rsid w:val="00AF3B79"/>
    <w:rsid w:val="00B35269"/>
    <w:rsid w:val="00B427A6"/>
    <w:rsid w:val="00B4368E"/>
    <w:rsid w:val="00B609D7"/>
    <w:rsid w:val="00B80B50"/>
    <w:rsid w:val="00B82C7F"/>
    <w:rsid w:val="00B834DE"/>
    <w:rsid w:val="00B9525B"/>
    <w:rsid w:val="00BA1D65"/>
    <w:rsid w:val="00BA6BBE"/>
    <w:rsid w:val="00BC0CA6"/>
    <w:rsid w:val="00BC39A4"/>
    <w:rsid w:val="00BC4008"/>
    <w:rsid w:val="00BC53BD"/>
    <w:rsid w:val="00BE1810"/>
    <w:rsid w:val="00BE56E2"/>
    <w:rsid w:val="00BF7F4D"/>
    <w:rsid w:val="00C33465"/>
    <w:rsid w:val="00C344B7"/>
    <w:rsid w:val="00C40B14"/>
    <w:rsid w:val="00C44BB8"/>
    <w:rsid w:val="00C6133D"/>
    <w:rsid w:val="00C67E49"/>
    <w:rsid w:val="00C7575B"/>
    <w:rsid w:val="00C830F8"/>
    <w:rsid w:val="00C8511B"/>
    <w:rsid w:val="00C959F3"/>
    <w:rsid w:val="00CD007E"/>
    <w:rsid w:val="00CD41AC"/>
    <w:rsid w:val="00CD72AC"/>
    <w:rsid w:val="00D132A0"/>
    <w:rsid w:val="00D16394"/>
    <w:rsid w:val="00D2272D"/>
    <w:rsid w:val="00D409F7"/>
    <w:rsid w:val="00D43FD8"/>
    <w:rsid w:val="00D51B48"/>
    <w:rsid w:val="00D60275"/>
    <w:rsid w:val="00D8024F"/>
    <w:rsid w:val="00D91628"/>
    <w:rsid w:val="00DC07A4"/>
    <w:rsid w:val="00DD29E3"/>
    <w:rsid w:val="00DE55BB"/>
    <w:rsid w:val="00E07CC5"/>
    <w:rsid w:val="00E269E2"/>
    <w:rsid w:val="00E275D8"/>
    <w:rsid w:val="00E41BB7"/>
    <w:rsid w:val="00E93766"/>
    <w:rsid w:val="00E93C73"/>
    <w:rsid w:val="00E951C0"/>
    <w:rsid w:val="00F024B3"/>
    <w:rsid w:val="00F05737"/>
    <w:rsid w:val="00F10386"/>
    <w:rsid w:val="00F1238F"/>
    <w:rsid w:val="00F16271"/>
    <w:rsid w:val="00F2700D"/>
    <w:rsid w:val="00F30AC2"/>
    <w:rsid w:val="00F3214E"/>
    <w:rsid w:val="00F4007F"/>
    <w:rsid w:val="00F424A4"/>
    <w:rsid w:val="00F42E62"/>
    <w:rsid w:val="00F44980"/>
    <w:rsid w:val="00F4792F"/>
    <w:rsid w:val="00F51D80"/>
    <w:rsid w:val="00F55FD1"/>
    <w:rsid w:val="00F96F34"/>
    <w:rsid w:val="00FA7613"/>
    <w:rsid w:val="00FC678A"/>
    <w:rsid w:val="00FF0AB5"/>
    <w:rsid w:val="00FF1C04"/>
    <w:rsid w:val="00FF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B0994"/>
    <w:rPr>
      <w:rFonts w:ascii="Arial" w:hAnsi="Arial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CB34B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B34B9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CB34B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A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72"/>
    <w:qFormat/>
    <w:rsid w:val="00E07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56F"/>
    <w:rPr>
      <w:color w:val="0000FF"/>
      <w:u w:val="single"/>
    </w:rPr>
  </w:style>
  <w:style w:type="paragraph" w:customStyle="1" w:styleId="newsintro">
    <w:name w:val="newsintro"/>
    <w:basedOn w:val="Normalny"/>
    <w:rsid w:val="00A03829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02D24"/>
      <w:sz w:val="18"/>
      <w:szCs w:val="1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210"/>
    <w:rPr>
      <w:rFonts w:ascii="Arial" w:hAnsi="Arial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B0994"/>
    <w:rPr>
      <w:rFonts w:ascii="Arial" w:hAnsi="Arial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CB34B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B34B9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CB34B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A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72"/>
    <w:qFormat/>
    <w:rsid w:val="00E07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56F"/>
    <w:rPr>
      <w:color w:val="0000FF"/>
      <w:u w:val="single"/>
    </w:rPr>
  </w:style>
  <w:style w:type="paragraph" w:customStyle="1" w:styleId="newsintro">
    <w:name w:val="newsintro"/>
    <w:basedOn w:val="Normalny"/>
    <w:rsid w:val="00A03829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02D24"/>
      <w:sz w:val="18"/>
      <w:szCs w:val="1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210"/>
    <w:rPr>
      <w:rFonts w:ascii="Arial" w:hAnsi="Arial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500029\Desktop\Nowy%20folder%20(6)\PGE%20EJ1_decyzja%20lokalizacyj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CD026707F464B9DAF9EC3DA732DDE" ma:contentTypeVersion="2" ma:contentTypeDescription="Utwórz nowy dokument." ma:contentTypeScope="" ma:versionID="3da7fa9b55a92c9a0ab523264ddfe8ad">
  <xsd:schema xmlns:xsd="http://www.w3.org/2001/XMLSchema" xmlns:xs="http://www.w3.org/2001/XMLSchema" xmlns:p="http://schemas.microsoft.com/office/2006/metadata/properties" xmlns:ns2="167a40c8-7bea-4980-9d40-bfb6fb62e5a7" xmlns:ns3="792e78b2-4757-4381-82ba-7629836b7594" targetNamespace="http://schemas.microsoft.com/office/2006/metadata/properties" ma:root="true" ma:fieldsID="917151fc5342d5e4f48b7fb1b0a4307f" ns2:_="" ns3:_="">
    <xsd:import namespace="167a40c8-7bea-4980-9d40-bfb6fb62e5a7"/>
    <xsd:import namespace="792e78b2-4757-4381-82ba-7629836b7594"/>
    <xsd:element name="properties">
      <xsd:complexType>
        <xsd:sequence>
          <xsd:element name="documentManagement">
            <xsd:complexType>
              <xsd:all>
                <xsd:element ref="ns2:Dotyczy"/>
                <xsd:element ref="ns3:Słowa_x0020_kluczowe_x002f_Key_x0020_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40c8-7bea-4980-9d40-bfb6fb62e5a7" elementFormDefault="qualified">
    <xsd:import namespace="http://schemas.microsoft.com/office/2006/documentManagement/types"/>
    <xsd:import namespace="http://schemas.microsoft.com/office/infopath/2007/PartnerControls"/>
    <xsd:element name="Dotyczy" ma:index="8" ma:displayName="Dotyczy" ma:format="Dropdown" ma:internalName="Dotyczy">
      <xsd:simpleType>
        <xsd:restriction base="dms:Choice">
          <xsd:enumeration value="EJ"/>
          <xsd:enumeration value="EJ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78b2-4757-4381-82ba-7629836b7594" elementFormDefault="qualified">
    <xsd:import namespace="http://schemas.microsoft.com/office/2006/documentManagement/types"/>
    <xsd:import namespace="http://schemas.microsoft.com/office/infopath/2007/PartnerControls"/>
    <xsd:element name="Słowa_x0020_kluczowe_x002f_Key_x0020_words" ma:index="9" ma:displayName="Słowa kluczowe/Key words" ma:internalName="S_x0142_owa_x0020_kluczowe_x002F_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167a40c8-7bea-4980-9d40-bfb6fb62e5a7"/>
    <Słowa_x0020_kluczowe_x002f_Key_x0020_words xmlns="792e78b2-4757-4381-82ba-7629836b759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2E1A-36AE-491D-AA8A-0B47D9751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20FA5-FE2F-43F8-A8A8-291E6FC5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a40c8-7bea-4980-9d40-bfb6fb62e5a7"/>
    <ds:schemaRef ds:uri="792e78b2-4757-4381-82ba-7629836b7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529EE-6EA1-43E9-8B6A-3DE76210DA8A}">
  <ds:schemaRefs>
    <ds:schemaRef ds:uri="http://schemas.microsoft.com/office/2006/metadata/properties"/>
    <ds:schemaRef ds:uri="http://schemas.microsoft.com/office/infopath/2007/PartnerControls"/>
    <ds:schemaRef ds:uri="167a40c8-7bea-4980-9d40-bfb6fb62e5a7"/>
    <ds:schemaRef ds:uri="792e78b2-4757-4381-82ba-7629836b7594"/>
  </ds:schemaRefs>
</ds:datastoreItem>
</file>

<file path=customXml/itemProps4.xml><?xml version="1.0" encoding="utf-8"?>
<ds:datastoreItem xmlns:ds="http://schemas.openxmlformats.org/officeDocument/2006/customXml" ds:itemID="{31C1322A-8493-4CAC-AD49-392E8A0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PGE EJ1_decyzja lokalizacyjna</Template>
  <TotalTime>0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Pole tekstowe</vt:lpstr>
    </vt:vector>
  </TitlesOfParts>
  <Company>CAM Media S.A.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Joanna [PGE Energia Jądrowa S.A.]</dc:creator>
  <cp:lastModifiedBy>aarendt</cp:lastModifiedBy>
  <cp:revision>2</cp:revision>
  <cp:lastPrinted>2015-01-28T11:30:00Z</cp:lastPrinted>
  <dcterms:created xsi:type="dcterms:W3CDTF">2015-01-29T14:12:00Z</dcterms:created>
  <dcterms:modified xsi:type="dcterms:W3CDTF">2015-01-29T14:12:00Z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0x0101004CECD026707F464B9DAF9EC3DA732DDE</vt:lpwstr>
  </property>
</Properties>
</file>